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C31345" w:rsidRDefault="00F445B1" w:rsidP="004A6D2F">
            <w:pPr>
              <w:rPr>
                <w:rStyle w:val="Firstpagetablebold"/>
              </w:rPr>
            </w:pPr>
            <w:r w:rsidRPr="00C31345">
              <w:rPr>
                <w:rStyle w:val="Firstpagetablebold"/>
              </w:rPr>
              <w:t>To</w:t>
            </w:r>
            <w:r w:rsidR="005C35A5" w:rsidRPr="00C31345">
              <w:rPr>
                <w:rStyle w:val="Firstpagetablebold"/>
              </w:rPr>
              <w:t>:</w:t>
            </w:r>
          </w:p>
        </w:tc>
        <w:tc>
          <w:tcPr>
            <w:tcW w:w="6406" w:type="dxa"/>
            <w:shd w:val="clear" w:color="auto" w:fill="auto"/>
          </w:tcPr>
          <w:p w:rsidR="00F445B1" w:rsidRPr="00C31345" w:rsidRDefault="00F445B1" w:rsidP="004A6D2F">
            <w:pPr>
              <w:rPr>
                <w:rStyle w:val="Firstpagetablebold"/>
              </w:rPr>
            </w:pPr>
            <w:r w:rsidRPr="00C31345">
              <w:rPr>
                <w:rStyle w:val="Firstpagetablebold"/>
              </w:rPr>
              <w:t>City Executive Board</w:t>
            </w:r>
          </w:p>
        </w:tc>
      </w:tr>
      <w:tr w:rsidR="00CE544A" w:rsidRPr="00975B07" w:rsidTr="005F7F7E">
        <w:tc>
          <w:tcPr>
            <w:tcW w:w="2438" w:type="dxa"/>
            <w:shd w:val="clear" w:color="auto" w:fill="auto"/>
          </w:tcPr>
          <w:p w:rsidR="00F445B1" w:rsidRPr="00C31345" w:rsidRDefault="00F445B1" w:rsidP="004A6D2F">
            <w:pPr>
              <w:rPr>
                <w:rStyle w:val="Firstpagetablebold"/>
              </w:rPr>
            </w:pPr>
            <w:r w:rsidRPr="00C31345">
              <w:rPr>
                <w:rStyle w:val="Firstpagetablebold"/>
              </w:rPr>
              <w:t>Dat</w:t>
            </w:r>
            <w:r w:rsidR="005C35A5" w:rsidRPr="00C31345">
              <w:rPr>
                <w:rStyle w:val="Firstpagetablebold"/>
              </w:rPr>
              <w:t>e:</w:t>
            </w:r>
          </w:p>
        </w:tc>
        <w:tc>
          <w:tcPr>
            <w:tcW w:w="6406" w:type="dxa"/>
            <w:shd w:val="clear" w:color="auto" w:fill="auto"/>
          </w:tcPr>
          <w:p w:rsidR="00F445B1" w:rsidRPr="00C31345" w:rsidRDefault="00C31345" w:rsidP="005D0621">
            <w:pPr>
              <w:rPr>
                <w:b/>
              </w:rPr>
            </w:pPr>
            <w:r w:rsidRPr="00C31345">
              <w:rPr>
                <w:rStyle w:val="Firstpagetablebold"/>
              </w:rPr>
              <w:t>13 March 2019</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4304D2" w:rsidP="004A6D2F">
            <w:pPr>
              <w:rPr>
                <w:rStyle w:val="Firstpagetablebold"/>
              </w:rPr>
            </w:pPr>
            <w:r>
              <w:rPr>
                <w:rStyle w:val="Firstpagetablebold"/>
              </w:rPr>
              <w:t>Head of Financial Services</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C31345" w:rsidP="004A6D2F">
            <w:pPr>
              <w:rPr>
                <w:rStyle w:val="Firstpagetablebold"/>
              </w:rPr>
            </w:pPr>
            <w:r>
              <w:rPr>
                <w:rStyle w:val="Firstpagetablebold"/>
              </w:rPr>
              <w:t xml:space="preserve">Corporate </w:t>
            </w:r>
            <w:r w:rsidR="004304D2">
              <w:rPr>
                <w:rStyle w:val="Firstpagetablebold"/>
              </w:rPr>
              <w:t>Debt Management Policy</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4304D2" w:rsidP="000F4751">
            <w:r>
              <w:t xml:space="preserve">To seek the approval and formal adoption of the revised Oxford City Council </w:t>
            </w:r>
            <w:r w:rsidR="00C31345">
              <w:t xml:space="preserve">Corporate </w:t>
            </w:r>
            <w:r>
              <w:t>Debt Management Policy</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69570B" w:rsidP="005F7F7E">
            <w:r>
              <w:t>Yes</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4304D2" w:rsidP="005F7F7E">
            <w:r>
              <w:t>Councillor Nigel Chapman, Customer Focussed Services</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4304D2" w:rsidP="005F7F7E">
            <w:r>
              <w:t>Efficient and Effective Council</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E00122" w:rsidP="005F7F7E">
            <w:r>
              <w:t>None</w:t>
            </w:r>
          </w:p>
        </w:tc>
      </w:tr>
      <w:tr w:rsidR="005F7F7E" w:rsidRPr="00975B07" w:rsidTr="00A46E98">
        <w:trPr>
          <w:trHeight w:val="413"/>
        </w:trPr>
        <w:tc>
          <w:tcPr>
            <w:tcW w:w="8845" w:type="dxa"/>
            <w:gridSpan w:val="3"/>
            <w:tcBorders>
              <w:bottom w:val="single" w:sz="8" w:space="0" w:color="000000"/>
            </w:tcBorders>
          </w:tcPr>
          <w:p w:rsidR="005F7F7E" w:rsidRPr="00975B07" w:rsidRDefault="00874B82" w:rsidP="004A6D2F">
            <w:proofErr w:type="spellStart"/>
            <w:r>
              <w:rPr>
                <w:rStyle w:val="Firstpagetablebold"/>
              </w:rPr>
              <w:t>Recommendation</w:t>
            </w:r>
            <w:r w:rsidR="005F7F7E">
              <w:rPr>
                <w:rStyle w:val="Firstpagetablebold"/>
              </w:rPr>
              <w:t>:</w:t>
            </w:r>
            <w:r w:rsidR="005F7F7E" w:rsidRPr="00874B82">
              <w:rPr>
                <w:rStyle w:val="Firstpagetablebold"/>
                <w:b w:val="0"/>
              </w:rPr>
              <w:t>That</w:t>
            </w:r>
            <w:proofErr w:type="spellEnd"/>
            <w:r w:rsidR="005F7F7E" w:rsidRPr="00874B82">
              <w:rPr>
                <w:rStyle w:val="Firstpagetablebold"/>
                <w:b w:val="0"/>
              </w:rPr>
              <w:t xml:space="preserve"> the City Executive Board resolves to:</w:t>
            </w:r>
          </w:p>
        </w:tc>
      </w:tr>
      <w:tr w:rsidR="0030208D" w:rsidRPr="00975B07" w:rsidTr="00A46E98">
        <w:trPr>
          <w:trHeight w:val="283"/>
        </w:trPr>
        <w:tc>
          <w:tcPr>
            <w:tcW w:w="426" w:type="dxa"/>
            <w:tcBorders>
              <w:top w:val="single" w:sz="8" w:space="0" w:color="000000"/>
              <w:left w:val="single" w:sz="8" w:space="0" w:color="000000"/>
              <w:bottom w:val="nil"/>
              <w:right w:val="nil"/>
            </w:tcBorders>
          </w:tcPr>
          <w:p w:rsidR="0030208D" w:rsidRPr="00975B07" w:rsidRDefault="00046D2B" w:rsidP="004A6D2F">
            <w:r w:rsidRPr="00975B07">
              <w:t>1.</w:t>
            </w:r>
          </w:p>
        </w:tc>
        <w:tc>
          <w:tcPr>
            <w:tcW w:w="8419" w:type="dxa"/>
            <w:gridSpan w:val="2"/>
            <w:tcBorders>
              <w:top w:val="single" w:sz="8" w:space="0" w:color="000000"/>
              <w:left w:val="nil"/>
              <w:bottom w:val="nil"/>
              <w:right w:val="single" w:sz="8" w:space="0" w:color="000000"/>
            </w:tcBorders>
            <w:shd w:val="clear" w:color="auto" w:fill="auto"/>
          </w:tcPr>
          <w:p w:rsidR="0030208D" w:rsidRPr="001356F1" w:rsidRDefault="0030208D" w:rsidP="002069B3">
            <w:bookmarkStart w:id="0" w:name="_GoBack"/>
            <w:r w:rsidRPr="001356F1">
              <w:t xml:space="preserve"> </w:t>
            </w:r>
            <w:r w:rsidR="00C31345" w:rsidRPr="00874B82">
              <w:rPr>
                <w:b/>
              </w:rPr>
              <w:t>Approve</w:t>
            </w:r>
            <w:r w:rsidR="004304D2">
              <w:t xml:space="preserve"> the</w:t>
            </w:r>
            <w:r w:rsidR="00C31345">
              <w:t xml:space="preserve"> </w:t>
            </w:r>
            <w:r w:rsidR="00D725B3">
              <w:t xml:space="preserve">proposed </w:t>
            </w:r>
            <w:r w:rsidR="00C31345">
              <w:t>Corporate Debt Management Policy as set out in Appendix 1</w:t>
            </w:r>
            <w:r w:rsidR="004304D2">
              <w:t xml:space="preserve"> attached</w:t>
            </w:r>
            <w:bookmarkEnd w:id="0"/>
          </w:p>
        </w:tc>
      </w:tr>
      <w:tr w:rsidR="00232F5B" w:rsidRPr="00975B07" w:rsidTr="00A46E98">
        <w:trPr>
          <w:trHeight w:val="283"/>
        </w:trPr>
        <w:tc>
          <w:tcPr>
            <w:tcW w:w="426" w:type="dxa"/>
            <w:tcBorders>
              <w:top w:val="nil"/>
              <w:left w:val="single" w:sz="8" w:space="0" w:color="000000"/>
              <w:bottom w:val="single" w:sz="8" w:space="0" w:color="000000"/>
              <w:right w:val="nil"/>
            </w:tcBorders>
          </w:tcPr>
          <w:p w:rsidR="0030208D" w:rsidRPr="00975B07" w:rsidRDefault="0030208D" w:rsidP="004A6D2F"/>
        </w:tc>
        <w:tc>
          <w:tcPr>
            <w:tcW w:w="8419" w:type="dxa"/>
            <w:gridSpan w:val="2"/>
            <w:tcBorders>
              <w:top w:val="nil"/>
              <w:left w:val="nil"/>
              <w:bottom w:val="single" w:sz="8" w:space="0" w:color="000000"/>
              <w:right w:val="single" w:sz="8" w:space="0" w:color="000000"/>
            </w:tcBorders>
            <w:shd w:val="clear" w:color="auto" w:fill="auto"/>
          </w:tcPr>
          <w:p w:rsidR="0030208D" w:rsidRPr="001356F1" w:rsidRDefault="0030208D" w:rsidP="00247C29"/>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A46E98">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50101A" w:rsidRPr="001356F1" w:rsidRDefault="004304D2" w:rsidP="004A6D2F">
            <w:r>
              <w:t>Corporate Debt Management Policy</w:t>
            </w:r>
          </w:p>
        </w:tc>
      </w:tr>
      <w:tr w:rsidR="0030208D" w:rsidRPr="00975B07" w:rsidTr="00A46E98">
        <w:tc>
          <w:tcPr>
            <w:tcW w:w="2438" w:type="dxa"/>
            <w:tcBorders>
              <w:top w:val="nil"/>
              <w:left w:val="single" w:sz="8" w:space="0" w:color="000000"/>
              <w:bottom w:val="single" w:sz="8" w:space="0" w:color="000000"/>
              <w:right w:val="nil"/>
            </w:tcBorders>
            <w:shd w:val="clear" w:color="auto" w:fill="auto"/>
          </w:tcPr>
          <w:p w:rsidR="0050101A" w:rsidRPr="00975B07" w:rsidRDefault="0050101A" w:rsidP="0050101A">
            <w:r>
              <w:t xml:space="preserve">Appendix 2 </w:t>
            </w:r>
          </w:p>
        </w:tc>
        <w:tc>
          <w:tcPr>
            <w:tcW w:w="6406" w:type="dxa"/>
            <w:tcBorders>
              <w:top w:val="nil"/>
              <w:left w:val="nil"/>
              <w:bottom w:val="single" w:sz="8" w:space="0" w:color="000000"/>
              <w:right w:val="single" w:sz="8" w:space="0" w:color="000000"/>
            </w:tcBorders>
          </w:tcPr>
          <w:p w:rsidR="0050101A" w:rsidRPr="001356F1" w:rsidRDefault="0050101A" w:rsidP="004A6D2F">
            <w:r>
              <w:t>Risk Registe</w:t>
            </w:r>
            <w:r w:rsidR="004726A7">
              <w:t>r</w:t>
            </w:r>
          </w:p>
        </w:tc>
      </w:tr>
    </w:tbl>
    <w:p w:rsidR="0040736F" w:rsidRPr="001356F1" w:rsidRDefault="00F66DCA" w:rsidP="004A6D2F">
      <w:pPr>
        <w:pStyle w:val="Heading1"/>
      </w:pPr>
      <w:r w:rsidRPr="001356F1">
        <w:t>Introduction and b</w:t>
      </w:r>
      <w:r w:rsidR="00151888" w:rsidRPr="001356F1">
        <w:t>ackground</w:t>
      </w:r>
      <w:r w:rsidR="00404032" w:rsidRPr="001356F1">
        <w:t xml:space="preserve"> </w:t>
      </w:r>
    </w:p>
    <w:p w:rsidR="00E87F7A" w:rsidRPr="004B4D8F" w:rsidRDefault="004304D2" w:rsidP="00DC022D">
      <w:pPr>
        <w:pStyle w:val="ListParagraph"/>
        <w:numPr>
          <w:ilvl w:val="0"/>
          <w:numId w:val="44"/>
        </w:numPr>
        <w:autoSpaceDE w:val="0"/>
        <w:autoSpaceDN w:val="0"/>
        <w:adjustRightInd w:val="0"/>
        <w:rPr>
          <w:rFonts w:eastAsia="Calibri" w:cs="Arial"/>
          <w:lang w:eastAsia="en-US"/>
        </w:rPr>
      </w:pPr>
      <w:r w:rsidRPr="004B4D8F">
        <w:rPr>
          <w:rFonts w:eastAsia="Calibri" w:cs="Arial"/>
          <w:lang w:eastAsia="en-US"/>
        </w:rPr>
        <w:t xml:space="preserve">The Council </w:t>
      </w:r>
      <w:r w:rsidR="007577A7" w:rsidRPr="004B4D8F">
        <w:rPr>
          <w:rFonts w:eastAsia="Calibri" w:cs="Arial"/>
          <w:lang w:eastAsia="en-US"/>
        </w:rPr>
        <w:t>receives income from a number of sources</w:t>
      </w:r>
      <w:r w:rsidRPr="004B4D8F">
        <w:rPr>
          <w:rFonts w:eastAsia="Calibri" w:cs="Arial"/>
          <w:lang w:eastAsia="en-US"/>
        </w:rPr>
        <w:t xml:space="preserve"> ranging from</w:t>
      </w:r>
      <w:r w:rsidR="0069570B" w:rsidRPr="004B4D8F">
        <w:rPr>
          <w:rFonts w:eastAsia="Calibri" w:cs="Arial"/>
          <w:lang w:eastAsia="en-US"/>
        </w:rPr>
        <w:t xml:space="preserve"> the repayment of</w:t>
      </w:r>
      <w:r w:rsidRPr="004B4D8F">
        <w:rPr>
          <w:rFonts w:eastAsia="Calibri" w:cs="Arial"/>
          <w:lang w:eastAsia="en-US"/>
        </w:rPr>
        <w:t xml:space="preserve"> low value debts for one-off</w:t>
      </w:r>
      <w:r w:rsidRPr="004B4D8F">
        <w:rPr>
          <w:rFonts w:cs="Arial"/>
        </w:rPr>
        <w:t xml:space="preserve"> </w:t>
      </w:r>
      <w:r w:rsidRPr="004B4D8F">
        <w:rPr>
          <w:rFonts w:eastAsia="Calibri" w:cs="Arial"/>
          <w:lang w:eastAsia="en-US"/>
        </w:rPr>
        <w:t xml:space="preserve">items, </w:t>
      </w:r>
      <w:r w:rsidR="007577A7" w:rsidRPr="004B4D8F">
        <w:rPr>
          <w:rFonts w:eastAsia="Calibri" w:cs="Arial"/>
          <w:lang w:eastAsia="en-US"/>
        </w:rPr>
        <w:t xml:space="preserve">to </w:t>
      </w:r>
      <w:r w:rsidRPr="004B4D8F">
        <w:rPr>
          <w:rFonts w:eastAsia="Calibri" w:cs="Arial"/>
          <w:lang w:eastAsia="en-US"/>
        </w:rPr>
        <w:t xml:space="preserve">significant value debts for potentially re-occurring items such as </w:t>
      </w:r>
      <w:r w:rsidR="00A109EE" w:rsidRPr="004B4D8F">
        <w:rPr>
          <w:rFonts w:eastAsia="Calibri" w:cs="Arial"/>
          <w:lang w:eastAsia="en-US"/>
        </w:rPr>
        <w:t>Overpaid Housing B</w:t>
      </w:r>
      <w:r w:rsidRPr="004B4D8F">
        <w:rPr>
          <w:rFonts w:eastAsia="Calibri" w:cs="Arial"/>
          <w:lang w:eastAsia="en-US"/>
        </w:rPr>
        <w:t>enefi</w:t>
      </w:r>
      <w:r w:rsidR="00A109EE" w:rsidRPr="004B4D8F">
        <w:rPr>
          <w:rFonts w:eastAsia="Calibri" w:cs="Arial"/>
          <w:lang w:eastAsia="en-US"/>
        </w:rPr>
        <w:t>ts, Business Rates, Council Tax and Council R</w:t>
      </w:r>
      <w:r w:rsidRPr="004B4D8F">
        <w:rPr>
          <w:rFonts w:eastAsia="Calibri" w:cs="Arial"/>
          <w:lang w:eastAsia="en-US"/>
        </w:rPr>
        <w:t>ents</w:t>
      </w:r>
      <w:r w:rsidR="00DC022D" w:rsidRPr="004B4D8F">
        <w:rPr>
          <w:rFonts w:eastAsia="Calibri" w:cs="Arial"/>
          <w:lang w:eastAsia="en-US"/>
        </w:rPr>
        <w:t>.</w:t>
      </w:r>
    </w:p>
    <w:p w:rsidR="004304D2" w:rsidRPr="00DC022D" w:rsidRDefault="00BD6B9E" w:rsidP="00DC022D">
      <w:pPr>
        <w:pStyle w:val="ListParagraph"/>
        <w:numPr>
          <w:ilvl w:val="0"/>
          <w:numId w:val="44"/>
        </w:numPr>
        <w:autoSpaceDE w:val="0"/>
        <w:autoSpaceDN w:val="0"/>
        <w:adjustRightInd w:val="0"/>
        <w:rPr>
          <w:rFonts w:ascii="TT14517o00" w:eastAsia="Calibri" w:hAnsi="TT14517o00" w:cs="TT14517o00"/>
          <w:lang w:eastAsia="en-US"/>
        </w:rPr>
      </w:pPr>
      <w:r w:rsidRPr="00DC022D">
        <w:rPr>
          <w:rFonts w:cs="Arial"/>
        </w:rPr>
        <w:t>T</w:t>
      </w:r>
      <w:r w:rsidR="004304D2" w:rsidRPr="00DC022D">
        <w:rPr>
          <w:rFonts w:cs="Arial"/>
        </w:rPr>
        <w:t>he Council’s Financ</w:t>
      </w:r>
      <w:r w:rsidRPr="00DC022D">
        <w:rPr>
          <w:rFonts w:cs="Arial"/>
        </w:rPr>
        <w:t>e</w:t>
      </w:r>
      <w:r w:rsidR="004304D2" w:rsidRPr="00DC022D">
        <w:rPr>
          <w:rFonts w:cs="Arial"/>
        </w:rPr>
        <w:t xml:space="preserve"> Rules </w:t>
      </w:r>
      <w:r w:rsidR="002D71F0">
        <w:rPr>
          <w:rFonts w:cs="Arial"/>
        </w:rPr>
        <w:t xml:space="preserve">as contained in the Council’s Constitution </w:t>
      </w:r>
      <w:r w:rsidR="004304D2" w:rsidRPr="00DC022D">
        <w:rPr>
          <w:rFonts w:cs="Arial"/>
        </w:rPr>
        <w:t xml:space="preserve">state that Heads of Service </w:t>
      </w:r>
      <w:r w:rsidRPr="00DC022D">
        <w:rPr>
          <w:rFonts w:cs="Arial"/>
        </w:rPr>
        <w:t>must have robust proce</w:t>
      </w:r>
      <w:r w:rsidR="005B49AE" w:rsidRPr="00DC022D">
        <w:rPr>
          <w:rFonts w:cs="Arial"/>
        </w:rPr>
        <w:t>sses in place for dealing with</w:t>
      </w:r>
      <w:r w:rsidRPr="00DC022D">
        <w:rPr>
          <w:rFonts w:cs="Arial"/>
        </w:rPr>
        <w:t xml:space="preserve"> income collection in their service area where required and must ensure that</w:t>
      </w:r>
      <w:r w:rsidR="004304D2" w:rsidRPr="00DC022D">
        <w:rPr>
          <w:rFonts w:cs="Arial"/>
        </w:rPr>
        <w:t xml:space="preserve"> :</w:t>
      </w:r>
    </w:p>
    <w:p w:rsidR="004304D2" w:rsidRPr="004304D2" w:rsidRDefault="004304D2" w:rsidP="004304D2">
      <w:pPr>
        <w:autoSpaceDE w:val="0"/>
        <w:autoSpaceDN w:val="0"/>
        <w:adjustRightInd w:val="0"/>
        <w:spacing w:after="0"/>
        <w:rPr>
          <w:rFonts w:ascii="Verdana" w:hAnsi="Verdana" w:cs="Verdana"/>
          <w:sz w:val="16"/>
          <w:szCs w:val="16"/>
        </w:rPr>
      </w:pPr>
      <w:r w:rsidRPr="004304D2">
        <w:rPr>
          <w:rFonts w:cs="Arial"/>
          <w:sz w:val="16"/>
          <w:szCs w:val="16"/>
        </w:rPr>
        <w:t xml:space="preserve"> </w:t>
      </w:r>
      <w:r w:rsidRPr="004304D2">
        <w:rPr>
          <w:rFonts w:cs="Arial"/>
          <w:sz w:val="16"/>
          <w:szCs w:val="16"/>
        </w:rPr>
        <w:tab/>
      </w:r>
    </w:p>
    <w:p w:rsidR="004304D2" w:rsidRPr="004304D2" w:rsidRDefault="00BD6B9E" w:rsidP="004304D2">
      <w:pPr>
        <w:numPr>
          <w:ilvl w:val="0"/>
          <w:numId w:val="36"/>
        </w:numPr>
        <w:autoSpaceDE w:val="0"/>
        <w:autoSpaceDN w:val="0"/>
        <w:adjustRightInd w:val="0"/>
        <w:spacing w:after="90"/>
        <w:rPr>
          <w:rFonts w:cs="Verdana"/>
          <w:bCs/>
        </w:rPr>
      </w:pPr>
      <w:r>
        <w:rPr>
          <w:rFonts w:cs="Verdana"/>
          <w:bCs/>
        </w:rPr>
        <w:t xml:space="preserve">They </w:t>
      </w:r>
      <w:r w:rsidR="004304D2" w:rsidRPr="004304D2">
        <w:rPr>
          <w:rFonts w:cs="Verdana"/>
          <w:bCs/>
        </w:rPr>
        <w:t>rais</w:t>
      </w:r>
      <w:r>
        <w:rPr>
          <w:rFonts w:cs="Verdana"/>
          <w:bCs/>
        </w:rPr>
        <w:t>e</w:t>
      </w:r>
      <w:r w:rsidR="004304D2" w:rsidRPr="004304D2">
        <w:rPr>
          <w:rFonts w:cs="Verdana"/>
          <w:bCs/>
        </w:rPr>
        <w:t xml:space="preserve"> invoices as soon as reasonably practical for all goods and services provided on credit; and </w:t>
      </w:r>
    </w:p>
    <w:p w:rsidR="009D04D6" w:rsidRDefault="00BD6B9E" w:rsidP="009D04D6">
      <w:pPr>
        <w:numPr>
          <w:ilvl w:val="0"/>
          <w:numId w:val="36"/>
        </w:numPr>
        <w:autoSpaceDE w:val="0"/>
        <w:autoSpaceDN w:val="0"/>
        <w:adjustRightInd w:val="0"/>
        <w:spacing w:after="90"/>
        <w:rPr>
          <w:rFonts w:cs="Verdana"/>
          <w:bCs/>
        </w:rPr>
      </w:pPr>
      <w:r>
        <w:rPr>
          <w:rFonts w:cs="Verdana"/>
          <w:bCs/>
        </w:rPr>
        <w:lastRenderedPageBreak/>
        <w:t xml:space="preserve">They </w:t>
      </w:r>
      <w:r w:rsidR="004304D2" w:rsidRPr="004304D2">
        <w:rPr>
          <w:rFonts w:cs="Verdana"/>
          <w:bCs/>
        </w:rPr>
        <w:t>follow the systems and procedures laid out by the Head of Financ</w:t>
      </w:r>
      <w:r w:rsidR="009D04D6">
        <w:rPr>
          <w:rFonts w:cs="Verdana"/>
          <w:bCs/>
        </w:rPr>
        <w:t xml:space="preserve">ial Services </w:t>
      </w:r>
      <w:r w:rsidR="004304D2" w:rsidRPr="004304D2">
        <w:rPr>
          <w:rFonts w:cs="Verdana"/>
          <w:bCs/>
        </w:rPr>
        <w:t xml:space="preserve"> as contained in the </w:t>
      </w:r>
      <w:r w:rsidR="009D04D6">
        <w:rPr>
          <w:rFonts w:cs="Verdana"/>
          <w:bCs/>
        </w:rPr>
        <w:t>c</w:t>
      </w:r>
      <w:r w:rsidR="004304D2" w:rsidRPr="004304D2">
        <w:rPr>
          <w:rFonts w:cs="Verdana"/>
          <w:bCs/>
        </w:rPr>
        <w:t xml:space="preserve">ost </w:t>
      </w:r>
      <w:r w:rsidR="009D04D6">
        <w:rPr>
          <w:rFonts w:cs="Verdana"/>
          <w:bCs/>
        </w:rPr>
        <w:t>c</w:t>
      </w:r>
      <w:r w:rsidR="004304D2" w:rsidRPr="004304D2">
        <w:rPr>
          <w:rFonts w:cs="Verdana"/>
          <w:bCs/>
        </w:rPr>
        <w:t xml:space="preserve">entre </w:t>
      </w:r>
      <w:r w:rsidR="009D04D6">
        <w:rPr>
          <w:rFonts w:cs="Verdana"/>
          <w:bCs/>
        </w:rPr>
        <w:t>m</w:t>
      </w:r>
      <w:r w:rsidR="004304D2" w:rsidRPr="004304D2">
        <w:rPr>
          <w:rFonts w:cs="Verdana"/>
          <w:bCs/>
        </w:rPr>
        <w:t xml:space="preserve">anagers </w:t>
      </w:r>
      <w:r w:rsidR="009D04D6">
        <w:rPr>
          <w:rFonts w:cs="Verdana"/>
          <w:bCs/>
        </w:rPr>
        <w:t>m</w:t>
      </w:r>
      <w:r w:rsidR="004304D2" w:rsidRPr="004304D2">
        <w:rPr>
          <w:rFonts w:cs="Verdana"/>
          <w:bCs/>
        </w:rPr>
        <w:t xml:space="preserve">anual and within the Guidance on </w:t>
      </w:r>
      <w:r w:rsidR="004304D2" w:rsidRPr="00E51DB7">
        <w:rPr>
          <w:rFonts w:cs="Verdana"/>
          <w:bCs/>
        </w:rPr>
        <w:t xml:space="preserve">Debt Collection on the intranet </w:t>
      </w:r>
    </w:p>
    <w:p w:rsidR="009D04D6" w:rsidRPr="009D04D6" w:rsidRDefault="009D04D6" w:rsidP="009A6E64">
      <w:pPr>
        <w:autoSpaceDE w:val="0"/>
        <w:autoSpaceDN w:val="0"/>
        <w:adjustRightInd w:val="0"/>
        <w:spacing w:after="90"/>
        <w:rPr>
          <w:rFonts w:cs="Verdana"/>
          <w:bCs/>
        </w:rPr>
      </w:pPr>
    </w:p>
    <w:p w:rsidR="004304D2" w:rsidRPr="00DC022D" w:rsidRDefault="004304D2" w:rsidP="00DC022D">
      <w:pPr>
        <w:pStyle w:val="ListParagraph"/>
        <w:numPr>
          <w:ilvl w:val="0"/>
          <w:numId w:val="44"/>
        </w:numPr>
        <w:autoSpaceDE w:val="0"/>
        <w:autoSpaceDN w:val="0"/>
        <w:adjustRightInd w:val="0"/>
        <w:spacing w:after="0"/>
        <w:rPr>
          <w:rFonts w:cs="Arial"/>
        </w:rPr>
      </w:pPr>
      <w:r w:rsidRPr="00DC022D">
        <w:rPr>
          <w:rFonts w:cs="Arial"/>
        </w:rPr>
        <w:t>In total it is estimated that the Council raises invoices for over £200 million of income per annum using a number of systems depending on the category of debt including:</w:t>
      </w:r>
    </w:p>
    <w:p w:rsidR="00780478" w:rsidRDefault="00780478" w:rsidP="00780478">
      <w:pPr>
        <w:autoSpaceDE w:val="0"/>
        <w:autoSpaceDN w:val="0"/>
        <w:adjustRightInd w:val="0"/>
        <w:spacing w:after="0"/>
        <w:ind w:left="540"/>
        <w:rPr>
          <w:rFonts w:cs="Arial"/>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7"/>
        <w:gridCol w:w="4757"/>
      </w:tblGrid>
      <w:tr w:rsidR="00780478" w:rsidRPr="009947AB" w:rsidTr="009947AB">
        <w:tc>
          <w:tcPr>
            <w:tcW w:w="4757" w:type="dxa"/>
            <w:shd w:val="clear" w:color="auto" w:fill="auto"/>
          </w:tcPr>
          <w:p w:rsidR="00780478" w:rsidRPr="009947AB" w:rsidRDefault="00780478" w:rsidP="009947AB">
            <w:pPr>
              <w:autoSpaceDE w:val="0"/>
              <w:autoSpaceDN w:val="0"/>
              <w:adjustRightInd w:val="0"/>
              <w:spacing w:after="0"/>
              <w:rPr>
                <w:rFonts w:cs="Arial"/>
              </w:rPr>
            </w:pPr>
            <w:r w:rsidRPr="009947AB">
              <w:rPr>
                <w:rFonts w:cs="Arial"/>
              </w:rPr>
              <w:t>Capita</w:t>
            </w:r>
            <w:r w:rsidR="00C31345">
              <w:rPr>
                <w:rFonts w:cs="Arial"/>
              </w:rPr>
              <w:t xml:space="preserve"> Academy</w:t>
            </w:r>
          </w:p>
        </w:tc>
        <w:tc>
          <w:tcPr>
            <w:tcW w:w="4757" w:type="dxa"/>
            <w:shd w:val="clear" w:color="auto" w:fill="auto"/>
          </w:tcPr>
          <w:p w:rsidR="00780478" w:rsidRPr="009947AB" w:rsidRDefault="00780478" w:rsidP="009947AB">
            <w:pPr>
              <w:autoSpaceDE w:val="0"/>
              <w:autoSpaceDN w:val="0"/>
              <w:adjustRightInd w:val="0"/>
              <w:spacing w:after="0"/>
              <w:rPr>
                <w:rFonts w:cs="Arial"/>
              </w:rPr>
            </w:pPr>
            <w:r w:rsidRPr="009947AB">
              <w:rPr>
                <w:rFonts w:cs="Arial"/>
              </w:rPr>
              <w:t>Business Rates, Council Tax and overpaid Housing Benefits</w:t>
            </w:r>
          </w:p>
        </w:tc>
      </w:tr>
      <w:tr w:rsidR="00780478" w:rsidRPr="009947AB" w:rsidTr="009947AB">
        <w:tc>
          <w:tcPr>
            <w:tcW w:w="4757" w:type="dxa"/>
            <w:shd w:val="clear" w:color="auto" w:fill="auto"/>
          </w:tcPr>
          <w:p w:rsidR="00780478" w:rsidRPr="009947AB" w:rsidRDefault="00780478" w:rsidP="009947AB">
            <w:pPr>
              <w:autoSpaceDE w:val="0"/>
              <w:autoSpaceDN w:val="0"/>
              <w:adjustRightInd w:val="0"/>
              <w:spacing w:after="0"/>
              <w:rPr>
                <w:rFonts w:cs="Arial"/>
              </w:rPr>
            </w:pPr>
            <w:r w:rsidRPr="009947AB">
              <w:rPr>
                <w:rFonts w:cs="Arial"/>
              </w:rPr>
              <w:t>Northgate (Aareon from 2019)</w:t>
            </w:r>
          </w:p>
        </w:tc>
        <w:tc>
          <w:tcPr>
            <w:tcW w:w="4757" w:type="dxa"/>
            <w:shd w:val="clear" w:color="auto" w:fill="auto"/>
          </w:tcPr>
          <w:p w:rsidR="00780478" w:rsidRPr="009947AB" w:rsidRDefault="00780478" w:rsidP="009947AB">
            <w:pPr>
              <w:autoSpaceDE w:val="0"/>
              <w:autoSpaceDN w:val="0"/>
              <w:adjustRightInd w:val="0"/>
              <w:spacing w:after="0"/>
              <w:rPr>
                <w:rFonts w:cs="Arial"/>
              </w:rPr>
            </w:pPr>
            <w:r w:rsidRPr="009947AB">
              <w:rPr>
                <w:rFonts w:cs="Arial"/>
              </w:rPr>
              <w:t>Council House Rents</w:t>
            </w:r>
          </w:p>
        </w:tc>
      </w:tr>
      <w:tr w:rsidR="00780478" w:rsidRPr="009947AB" w:rsidTr="009947AB">
        <w:tc>
          <w:tcPr>
            <w:tcW w:w="4757" w:type="dxa"/>
            <w:shd w:val="clear" w:color="auto" w:fill="auto"/>
          </w:tcPr>
          <w:p w:rsidR="00780478" w:rsidRPr="009947AB" w:rsidRDefault="00C31345" w:rsidP="009947AB">
            <w:pPr>
              <w:autoSpaceDE w:val="0"/>
              <w:autoSpaceDN w:val="0"/>
              <w:adjustRightInd w:val="0"/>
              <w:spacing w:after="0"/>
              <w:rPr>
                <w:rFonts w:cs="Arial"/>
              </w:rPr>
            </w:pPr>
            <w:r>
              <w:rPr>
                <w:rFonts w:cs="Arial"/>
              </w:rPr>
              <w:t>Unit4 Business World On! (</w:t>
            </w:r>
            <w:r w:rsidR="00780478" w:rsidRPr="009947AB">
              <w:rPr>
                <w:rFonts w:cs="Arial"/>
              </w:rPr>
              <w:t>Agresso</w:t>
            </w:r>
            <w:r>
              <w:rPr>
                <w:rFonts w:cs="Arial"/>
              </w:rPr>
              <w:t>)</w:t>
            </w:r>
          </w:p>
        </w:tc>
        <w:tc>
          <w:tcPr>
            <w:tcW w:w="4757" w:type="dxa"/>
            <w:shd w:val="clear" w:color="auto" w:fill="auto"/>
          </w:tcPr>
          <w:p w:rsidR="00780478" w:rsidRPr="009947AB" w:rsidRDefault="00780478" w:rsidP="009947AB">
            <w:pPr>
              <w:autoSpaceDE w:val="0"/>
              <w:autoSpaceDN w:val="0"/>
              <w:adjustRightInd w:val="0"/>
              <w:spacing w:after="0"/>
              <w:rPr>
                <w:rFonts w:cs="Arial"/>
              </w:rPr>
            </w:pPr>
            <w:r w:rsidRPr="009947AB">
              <w:rPr>
                <w:rFonts w:cs="Arial"/>
              </w:rPr>
              <w:t>General Debtors</w:t>
            </w:r>
          </w:p>
        </w:tc>
      </w:tr>
      <w:tr w:rsidR="00780478" w:rsidRPr="009947AB" w:rsidTr="009947AB">
        <w:tc>
          <w:tcPr>
            <w:tcW w:w="4757" w:type="dxa"/>
            <w:shd w:val="clear" w:color="auto" w:fill="auto"/>
          </w:tcPr>
          <w:p w:rsidR="00780478" w:rsidRPr="009947AB" w:rsidRDefault="00780478" w:rsidP="009947AB">
            <w:pPr>
              <w:autoSpaceDE w:val="0"/>
              <w:autoSpaceDN w:val="0"/>
              <w:adjustRightInd w:val="0"/>
              <w:spacing w:after="0"/>
              <w:rPr>
                <w:rFonts w:cs="Arial"/>
                <w:highlight w:val="yellow"/>
              </w:rPr>
            </w:pPr>
            <w:r w:rsidRPr="00124251">
              <w:rPr>
                <w:rFonts w:cs="Arial"/>
              </w:rPr>
              <w:t>Uniform</w:t>
            </w:r>
          </w:p>
        </w:tc>
        <w:tc>
          <w:tcPr>
            <w:tcW w:w="4757" w:type="dxa"/>
            <w:shd w:val="clear" w:color="auto" w:fill="auto"/>
          </w:tcPr>
          <w:p w:rsidR="00780478" w:rsidRPr="009947AB" w:rsidRDefault="00780478" w:rsidP="009947AB">
            <w:pPr>
              <w:autoSpaceDE w:val="0"/>
              <w:autoSpaceDN w:val="0"/>
              <w:adjustRightInd w:val="0"/>
              <w:spacing w:after="0"/>
              <w:rPr>
                <w:rFonts w:cs="Arial"/>
                <w:highlight w:val="yellow"/>
              </w:rPr>
            </w:pPr>
            <w:r w:rsidRPr="00E51DB7">
              <w:rPr>
                <w:rFonts w:cs="Arial"/>
              </w:rPr>
              <w:t>Licences</w:t>
            </w:r>
          </w:p>
        </w:tc>
      </w:tr>
      <w:tr w:rsidR="00780478" w:rsidRPr="009947AB" w:rsidTr="009947AB">
        <w:tc>
          <w:tcPr>
            <w:tcW w:w="4757" w:type="dxa"/>
            <w:shd w:val="clear" w:color="auto" w:fill="auto"/>
          </w:tcPr>
          <w:p w:rsidR="00780478" w:rsidRPr="009947AB" w:rsidRDefault="00780478" w:rsidP="009947AB">
            <w:pPr>
              <w:autoSpaceDE w:val="0"/>
              <w:autoSpaceDN w:val="0"/>
              <w:adjustRightInd w:val="0"/>
              <w:spacing w:after="0"/>
              <w:rPr>
                <w:rFonts w:cs="Arial"/>
              </w:rPr>
            </w:pPr>
            <w:r w:rsidRPr="00780478">
              <w:t>Imperial Civil Enforcement</w:t>
            </w:r>
          </w:p>
        </w:tc>
        <w:tc>
          <w:tcPr>
            <w:tcW w:w="4757" w:type="dxa"/>
            <w:shd w:val="clear" w:color="auto" w:fill="auto"/>
          </w:tcPr>
          <w:p w:rsidR="00780478" w:rsidRPr="009947AB" w:rsidRDefault="00780478" w:rsidP="009947AB">
            <w:pPr>
              <w:autoSpaceDE w:val="0"/>
              <w:autoSpaceDN w:val="0"/>
              <w:adjustRightInd w:val="0"/>
              <w:spacing w:after="0"/>
              <w:rPr>
                <w:rFonts w:cs="Arial"/>
              </w:rPr>
            </w:pPr>
            <w:r w:rsidRPr="009947AB">
              <w:rPr>
                <w:rFonts w:cs="Arial"/>
              </w:rPr>
              <w:t>Excess charge notices</w:t>
            </w:r>
          </w:p>
        </w:tc>
      </w:tr>
    </w:tbl>
    <w:p w:rsidR="009A39AC" w:rsidRPr="004304D2" w:rsidRDefault="009A39AC" w:rsidP="009A39AC">
      <w:pPr>
        <w:autoSpaceDE w:val="0"/>
        <w:autoSpaceDN w:val="0"/>
        <w:adjustRightInd w:val="0"/>
        <w:spacing w:after="0"/>
        <w:rPr>
          <w:rFonts w:cs="Arial"/>
        </w:rPr>
      </w:pPr>
    </w:p>
    <w:p w:rsidR="009A39AC" w:rsidRPr="004304D2" w:rsidRDefault="009A39AC" w:rsidP="00DC022D">
      <w:pPr>
        <w:numPr>
          <w:ilvl w:val="0"/>
          <w:numId w:val="44"/>
        </w:numPr>
        <w:autoSpaceDE w:val="0"/>
        <w:autoSpaceDN w:val="0"/>
        <w:adjustRightInd w:val="0"/>
        <w:spacing w:after="0"/>
        <w:rPr>
          <w:rFonts w:cs="Arial"/>
        </w:rPr>
      </w:pPr>
      <w:r w:rsidRPr="004304D2">
        <w:rPr>
          <w:rFonts w:cs="Arial"/>
        </w:rPr>
        <w:t>As at 31</w:t>
      </w:r>
      <w:r w:rsidRPr="004304D2">
        <w:rPr>
          <w:rFonts w:cs="Arial"/>
          <w:vertAlign w:val="superscript"/>
        </w:rPr>
        <w:t>st</w:t>
      </w:r>
      <w:r w:rsidRPr="004304D2">
        <w:rPr>
          <w:rFonts w:cs="Arial"/>
        </w:rPr>
        <w:t xml:space="preserve"> March 201</w:t>
      </w:r>
      <w:r>
        <w:rPr>
          <w:rFonts w:cs="Arial"/>
        </w:rPr>
        <w:t>8</w:t>
      </w:r>
      <w:r w:rsidRPr="004304D2">
        <w:rPr>
          <w:rFonts w:cs="Arial"/>
        </w:rPr>
        <w:t xml:space="preserve"> arrears </w:t>
      </w:r>
      <w:r w:rsidR="009D04D6">
        <w:rPr>
          <w:rFonts w:cs="Arial"/>
        </w:rPr>
        <w:t xml:space="preserve">owed to the Council </w:t>
      </w:r>
      <w:r w:rsidRPr="004304D2">
        <w:rPr>
          <w:rFonts w:cs="Arial"/>
        </w:rPr>
        <w:t xml:space="preserve">stood at </w:t>
      </w:r>
      <w:r w:rsidRPr="00726F6F">
        <w:rPr>
          <w:rFonts w:cs="Arial"/>
        </w:rPr>
        <w:t xml:space="preserve">around </w:t>
      </w:r>
      <w:r w:rsidR="00726F6F" w:rsidRPr="00726F6F">
        <w:rPr>
          <w:rFonts w:cs="Arial"/>
        </w:rPr>
        <w:t>£23</w:t>
      </w:r>
      <w:r w:rsidR="00360F5D">
        <w:rPr>
          <w:rFonts w:cs="Arial"/>
        </w:rPr>
        <w:t>.353</w:t>
      </w:r>
      <w:r w:rsidRPr="00726F6F">
        <w:rPr>
          <w:rFonts w:cs="Arial"/>
        </w:rPr>
        <w:t xml:space="preserve"> million</w:t>
      </w:r>
      <w:r w:rsidR="009D04D6">
        <w:rPr>
          <w:rFonts w:cs="Arial"/>
        </w:rPr>
        <w:t xml:space="preserve"> as</w:t>
      </w:r>
      <w:r w:rsidRPr="00726F6F">
        <w:rPr>
          <w:rFonts w:cs="Arial"/>
        </w:rPr>
        <w:t xml:space="preserve"> s</w:t>
      </w:r>
      <w:r w:rsidR="009D04D6">
        <w:rPr>
          <w:rFonts w:cs="Arial"/>
        </w:rPr>
        <w:t>et out</w:t>
      </w:r>
      <w:r w:rsidRPr="004304D2">
        <w:rPr>
          <w:rFonts w:cs="Arial"/>
        </w:rPr>
        <w:t xml:space="preserve"> in the table below together with an analysis of provisions held against each debt type</w:t>
      </w:r>
      <w:r w:rsidR="00EE1AAD">
        <w:rPr>
          <w:rFonts w:cs="Arial"/>
        </w:rPr>
        <w:t xml:space="preserve">. These provisions are reviewed </w:t>
      </w:r>
      <w:r w:rsidR="004B4D8F">
        <w:rPr>
          <w:rFonts w:cs="Arial"/>
        </w:rPr>
        <w:t>prior to the start of a financial year.</w:t>
      </w:r>
      <w:r w:rsidR="00EE1AAD">
        <w:rPr>
          <w:rFonts w:cs="Arial"/>
        </w:rPr>
        <w:t xml:space="preserve">  </w:t>
      </w:r>
      <w:r w:rsidR="00B952EA">
        <w:rPr>
          <w:rFonts w:cs="Arial"/>
        </w:rPr>
        <w:t xml:space="preserve"> </w:t>
      </w:r>
    </w:p>
    <w:p w:rsidR="009A39AC" w:rsidRPr="004304D2" w:rsidRDefault="009A39AC" w:rsidP="009A39AC">
      <w:pPr>
        <w:autoSpaceDE w:val="0"/>
        <w:autoSpaceDN w:val="0"/>
        <w:adjustRightInd w:val="0"/>
        <w:spacing w:after="0"/>
        <w:ind w:left="72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5"/>
        <w:gridCol w:w="1746"/>
        <w:gridCol w:w="1573"/>
      </w:tblGrid>
      <w:tr w:rsidR="009A39AC" w:rsidRPr="004304D2" w:rsidTr="009A39AC">
        <w:tc>
          <w:tcPr>
            <w:tcW w:w="7941" w:type="dxa"/>
            <w:gridSpan w:val="2"/>
            <w:shd w:val="clear" w:color="auto" w:fill="auto"/>
          </w:tcPr>
          <w:p w:rsidR="009A39AC" w:rsidRPr="004304D2" w:rsidRDefault="00786404" w:rsidP="009A39AC">
            <w:pPr>
              <w:autoSpaceDE w:val="0"/>
              <w:autoSpaceDN w:val="0"/>
              <w:adjustRightInd w:val="0"/>
              <w:spacing w:after="0"/>
              <w:rPr>
                <w:rFonts w:cs="Arial"/>
              </w:rPr>
            </w:pPr>
            <w:r w:rsidRPr="004B4D8F">
              <w:rPr>
                <w:rFonts w:cs="Arial"/>
              </w:rPr>
              <w:t>Cumulative a</w:t>
            </w:r>
            <w:r w:rsidR="009A39AC" w:rsidRPr="004B4D8F">
              <w:rPr>
                <w:rFonts w:cs="Arial"/>
              </w:rPr>
              <w:t>rrears</w:t>
            </w:r>
            <w:r w:rsidR="009A39AC" w:rsidRPr="004304D2">
              <w:rPr>
                <w:rFonts w:cs="Arial"/>
              </w:rPr>
              <w:t xml:space="preserve"> as at </w:t>
            </w:r>
            <w:r w:rsidR="009A39AC">
              <w:rPr>
                <w:rFonts w:cs="Arial"/>
              </w:rPr>
              <w:t>31</w:t>
            </w:r>
            <w:r w:rsidR="009A39AC" w:rsidRPr="009A39AC">
              <w:rPr>
                <w:rFonts w:cs="Arial"/>
                <w:vertAlign w:val="superscript"/>
              </w:rPr>
              <w:t>st</w:t>
            </w:r>
            <w:r w:rsidR="009A39AC">
              <w:rPr>
                <w:rFonts w:cs="Arial"/>
              </w:rPr>
              <w:t xml:space="preserve"> March 2018</w:t>
            </w:r>
          </w:p>
        </w:tc>
        <w:tc>
          <w:tcPr>
            <w:tcW w:w="1573" w:type="dxa"/>
            <w:shd w:val="clear" w:color="auto" w:fill="auto"/>
          </w:tcPr>
          <w:p w:rsidR="009A39AC" w:rsidRPr="004304D2" w:rsidRDefault="009A39AC" w:rsidP="00441542">
            <w:pPr>
              <w:autoSpaceDE w:val="0"/>
              <w:autoSpaceDN w:val="0"/>
              <w:adjustRightInd w:val="0"/>
              <w:spacing w:after="0"/>
              <w:rPr>
                <w:rFonts w:cs="Arial"/>
              </w:rPr>
            </w:pPr>
          </w:p>
        </w:tc>
      </w:tr>
      <w:tr w:rsidR="009A39AC" w:rsidRPr="004304D2" w:rsidTr="009A39AC">
        <w:tc>
          <w:tcPr>
            <w:tcW w:w="6195" w:type="dxa"/>
            <w:shd w:val="clear" w:color="auto" w:fill="auto"/>
          </w:tcPr>
          <w:p w:rsidR="009A39AC" w:rsidRPr="004304D2" w:rsidRDefault="009A39AC" w:rsidP="00441542">
            <w:pPr>
              <w:autoSpaceDE w:val="0"/>
              <w:autoSpaceDN w:val="0"/>
              <w:adjustRightInd w:val="0"/>
              <w:spacing w:after="0"/>
              <w:rPr>
                <w:rFonts w:cs="Arial"/>
              </w:rPr>
            </w:pPr>
          </w:p>
        </w:tc>
        <w:tc>
          <w:tcPr>
            <w:tcW w:w="1746" w:type="dxa"/>
            <w:shd w:val="clear" w:color="auto" w:fill="BFBFBF"/>
          </w:tcPr>
          <w:p w:rsidR="009A39AC" w:rsidRPr="004304D2" w:rsidRDefault="009A39AC" w:rsidP="00441542">
            <w:pPr>
              <w:autoSpaceDE w:val="0"/>
              <w:autoSpaceDN w:val="0"/>
              <w:adjustRightInd w:val="0"/>
              <w:spacing w:after="0"/>
              <w:jc w:val="center"/>
              <w:rPr>
                <w:rFonts w:cs="Arial"/>
              </w:rPr>
            </w:pPr>
            <w:r w:rsidRPr="004304D2">
              <w:rPr>
                <w:rFonts w:cs="Arial"/>
              </w:rPr>
              <w:t>Arrears</w:t>
            </w:r>
          </w:p>
        </w:tc>
        <w:tc>
          <w:tcPr>
            <w:tcW w:w="1573" w:type="dxa"/>
            <w:shd w:val="clear" w:color="auto" w:fill="BFBFBF"/>
          </w:tcPr>
          <w:p w:rsidR="009A39AC" w:rsidRPr="004304D2" w:rsidRDefault="009A39AC" w:rsidP="00441542">
            <w:pPr>
              <w:autoSpaceDE w:val="0"/>
              <w:autoSpaceDN w:val="0"/>
              <w:adjustRightInd w:val="0"/>
              <w:spacing w:after="0"/>
              <w:jc w:val="center"/>
              <w:rPr>
                <w:rFonts w:cs="Arial"/>
              </w:rPr>
            </w:pPr>
            <w:r w:rsidRPr="004304D2">
              <w:rPr>
                <w:rFonts w:cs="Arial"/>
              </w:rPr>
              <w:t>Provision for bad debts</w:t>
            </w:r>
          </w:p>
        </w:tc>
      </w:tr>
      <w:tr w:rsidR="009A39AC" w:rsidRPr="004304D2" w:rsidTr="009A39AC">
        <w:tc>
          <w:tcPr>
            <w:tcW w:w="6195" w:type="dxa"/>
            <w:shd w:val="clear" w:color="auto" w:fill="auto"/>
          </w:tcPr>
          <w:p w:rsidR="009A39AC" w:rsidRPr="004304D2" w:rsidRDefault="009A39AC" w:rsidP="00441542">
            <w:pPr>
              <w:autoSpaceDE w:val="0"/>
              <w:autoSpaceDN w:val="0"/>
              <w:adjustRightInd w:val="0"/>
              <w:spacing w:after="0"/>
              <w:rPr>
                <w:rFonts w:cs="Arial"/>
              </w:rPr>
            </w:pPr>
          </w:p>
        </w:tc>
        <w:tc>
          <w:tcPr>
            <w:tcW w:w="1746" w:type="dxa"/>
            <w:shd w:val="clear" w:color="auto" w:fill="BFBFBF"/>
          </w:tcPr>
          <w:p w:rsidR="009A39AC" w:rsidRPr="004304D2" w:rsidRDefault="009A39AC" w:rsidP="00441542">
            <w:pPr>
              <w:autoSpaceDE w:val="0"/>
              <w:autoSpaceDN w:val="0"/>
              <w:adjustRightInd w:val="0"/>
              <w:spacing w:after="0"/>
              <w:jc w:val="center"/>
              <w:rPr>
                <w:rFonts w:cs="Arial"/>
              </w:rPr>
            </w:pPr>
            <w:r w:rsidRPr="004304D2">
              <w:rPr>
                <w:rFonts w:cs="Arial"/>
              </w:rPr>
              <w:t>£000’s</w:t>
            </w:r>
          </w:p>
        </w:tc>
        <w:tc>
          <w:tcPr>
            <w:tcW w:w="1573" w:type="dxa"/>
            <w:shd w:val="clear" w:color="auto" w:fill="BFBFBF"/>
          </w:tcPr>
          <w:p w:rsidR="009A39AC" w:rsidRPr="004304D2" w:rsidRDefault="009A39AC" w:rsidP="00441542">
            <w:pPr>
              <w:autoSpaceDE w:val="0"/>
              <w:autoSpaceDN w:val="0"/>
              <w:adjustRightInd w:val="0"/>
              <w:spacing w:after="0"/>
              <w:jc w:val="center"/>
              <w:rPr>
                <w:rFonts w:cs="Arial"/>
              </w:rPr>
            </w:pPr>
            <w:r w:rsidRPr="004304D2">
              <w:rPr>
                <w:rFonts w:cs="Arial"/>
              </w:rPr>
              <w:t>£000’s</w:t>
            </w:r>
          </w:p>
        </w:tc>
      </w:tr>
      <w:tr w:rsidR="009A39AC" w:rsidRPr="004304D2" w:rsidTr="009A39AC">
        <w:tc>
          <w:tcPr>
            <w:tcW w:w="6195" w:type="dxa"/>
            <w:shd w:val="clear" w:color="auto" w:fill="auto"/>
          </w:tcPr>
          <w:p w:rsidR="009A39AC" w:rsidRPr="004304D2" w:rsidRDefault="009A39AC" w:rsidP="00441542">
            <w:pPr>
              <w:autoSpaceDE w:val="0"/>
              <w:autoSpaceDN w:val="0"/>
              <w:adjustRightInd w:val="0"/>
              <w:spacing w:after="0"/>
              <w:rPr>
                <w:rFonts w:cs="Arial"/>
              </w:rPr>
            </w:pPr>
            <w:r w:rsidRPr="004304D2">
              <w:rPr>
                <w:rFonts w:cs="Arial"/>
              </w:rPr>
              <w:t>Business Rates</w:t>
            </w:r>
          </w:p>
        </w:tc>
        <w:tc>
          <w:tcPr>
            <w:tcW w:w="1746" w:type="dxa"/>
            <w:shd w:val="clear" w:color="auto" w:fill="auto"/>
          </w:tcPr>
          <w:p w:rsidR="009A39AC" w:rsidRPr="004304D2" w:rsidRDefault="00B772DE" w:rsidP="00441542">
            <w:pPr>
              <w:spacing w:after="0"/>
              <w:jc w:val="right"/>
              <w:rPr>
                <w:rFonts w:cs="Arial"/>
                <w:color w:val="auto"/>
                <w:szCs w:val="20"/>
              </w:rPr>
            </w:pPr>
            <w:r>
              <w:rPr>
                <w:rFonts w:cs="Arial"/>
                <w:color w:val="auto"/>
                <w:szCs w:val="20"/>
              </w:rPr>
              <w:t>4,834</w:t>
            </w:r>
          </w:p>
        </w:tc>
        <w:tc>
          <w:tcPr>
            <w:tcW w:w="1573" w:type="dxa"/>
            <w:shd w:val="clear" w:color="auto" w:fill="auto"/>
          </w:tcPr>
          <w:p w:rsidR="009A39AC" w:rsidRPr="004304D2" w:rsidRDefault="00B772DE" w:rsidP="00441542">
            <w:pPr>
              <w:spacing w:after="0"/>
              <w:jc w:val="right"/>
              <w:rPr>
                <w:rFonts w:cs="Arial"/>
                <w:color w:val="auto"/>
                <w:szCs w:val="20"/>
              </w:rPr>
            </w:pPr>
            <w:r>
              <w:rPr>
                <w:rFonts w:cs="Arial"/>
                <w:color w:val="auto"/>
                <w:szCs w:val="20"/>
              </w:rPr>
              <w:t>1,604</w:t>
            </w:r>
          </w:p>
        </w:tc>
      </w:tr>
      <w:tr w:rsidR="009A39AC" w:rsidRPr="004304D2" w:rsidTr="009A39AC">
        <w:tc>
          <w:tcPr>
            <w:tcW w:w="6195" w:type="dxa"/>
            <w:shd w:val="clear" w:color="auto" w:fill="auto"/>
          </w:tcPr>
          <w:p w:rsidR="009A39AC" w:rsidRPr="004304D2" w:rsidRDefault="009A39AC" w:rsidP="00441542">
            <w:pPr>
              <w:autoSpaceDE w:val="0"/>
              <w:autoSpaceDN w:val="0"/>
              <w:adjustRightInd w:val="0"/>
              <w:spacing w:after="0"/>
              <w:rPr>
                <w:rFonts w:cs="Arial"/>
              </w:rPr>
            </w:pPr>
            <w:r w:rsidRPr="004304D2">
              <w:rPr>
                <w:rFonts w:cs="Arial"/>
              </w:rPr>
              <w:t>Council Tax</w:t>
            </w:r>
          </w:p>
        </w:tc>
        <w:tc>
          <w:tcPr>
            <w:tcW w:w="1746" w:type="dxa"/>
            <w:shd w:val="clear" w:color="auto" w:fill="auto"/>
          </w:tcPr>
          <w:p w:rsidR="009A39AC" w:rsidRPr="004304D2" w:rsidRDefault="00B772DE" w:rsidP="00441542">
            <w:pPr>
              <w:spacing w:after="0"/>
              <w:jc w:val="right"/>
              <w:rPr>
                <w:rFonts w:cs="Arial"/>
                <w:color w:val="auto"/>
                <w:szCs w:val="20"/>
              </w:rPr>
            </w:pPr>
            <w:r>
              <w:rPr>
                <w:rFonts w:cs="Arial"/>
                <w:color w:val="auto"/>
                <w:szCs w:val="20"/>
              </w:rPr>
              <w:t>5,366</w:t>
            </w:r>
          </w:p>
        </w:tc>
        <w:tc>
          <w:tcPr>
            <w:tcW w:w="1573" w:type="dxa"/>
            <w:shd w:val="clear" w:color="auto" w:fill="auto"/>
          </w:tcPr>
          <w:p w:rsidR="009A39AC" w:rsidRPr="004304D2" w:rsidRDefault="00B772DE" w:rsidP="00441542">
            <w:pPr>
              <w:spacing w:after="0"/>
              <w:jc w:val="right"/>
              <w:rPr>
                <w:rFonts w:cs="Arial"/>
                <w:color w:val="auto"/>
                <w:szCs w:val="20"/>
              </w:rPr>
            </w:pPr>
            <w:r>
              <w:rPr>
                <w:rFonts w:cs="Arial"/>
                <w:color w:val="auto"/>
                <w:szCs w:val="20"/>
              </w:rPr>
              <w:t>3,198</w:t>
            </w:r>
          </w:p>
        </w:tc>
      </w:tr>
      <w:tr w:rsidR="009A39AC" w:rsidRPr="004304D2" w:rsidTr="009A39AC">
        <w:tc>
          <w:tcPr>
            <w:tcW w:w="6195" w:type="dxa"/>
            <w:shd w:val="clear" w:color="auto" w:fill="auto"/>
          </w:tcPr>
          <w:p w:rsidR="009A39AC" w:rsidRPr="004304D2" w:rsidRDefault="009A39AC" w:rsidP="00441542">
            <w:pPr>
              <w:autoSpaceDE w:val="0"/>
              <w:autoSpaceDN w:val="0"/>
              <w:adjustRightInd w:val="0"/>
              <w:spacing w:after="0"/>
              <w:rPr>
                <w:rFonts w:cs="Arial"/>
              </w:rPr>
            </w:pPr>
            <w:r w:rsidRPr="004304D2">
              <w:rPr>
                <w:rFonts w:cs="Arial"/>
              </w:rPr>
              <w:t>Overpaid Housing Benefits</w:t>
            </w:r>
          </w:p>
        </w:tc>
        <w:tc>
          <w:tcPr>
            <w:tcW w:w="1746" w:type="dxa"/>
            <w:shd w:val="clear" w:color="auto" w:fill="auto"/>
          </w:tcPr>
          <w:p w:rsidR="009A39AC" w:rsidRPr="004304D2" w:rsidRDefault="00B772DE" w:rsidP="00441542">
            <w:pPr>
              <w:spacing w:after="0"/>
              <w:jc w:val="right"/>
              <w:rPr>
                <w:rFonts w:cs="Arial"/>
                <w:color w:val="auto"/>
                <w:szCs w:val="20"/>
              </w:rPr>
            </w:pPr>
            <w:r>
              <w:rPr>
                <w:rFonts w:cs="Arial"/>
                <w:color w:val="auto"/>
                <w:szCs w:val="20"/>
              </w:rPr>
              <w:t>7,624</w:t>
            </w:r>
          </w:p>
        </w:tc>
        <w:tc>
          <w:tcPr>
            <w:tcW w:w="1573" w:type="dxa"/>
            <w:shd w:val="clear" w:color="auto" w:fill="auto"/>
          </w:tcPr>
          <w:p w:rsidR="009A39AC" w:rsidRPr="004304D2" w:rsidRDefault="00B772DE" w:rsidP="00441542">
            <w:pPr>
              <w:spacing w:after="0"/>
              <w:jc w:val="right"/>
              <w:rPr>
                <w:rFonts w:cs="Arial"/>
                <w:color w:val="auto"/>
                <w:szCs w:val="20"/>
              </w:rPr>
            </w:pPr>
            <w:r>
              <w:rPr>
                <w:rFonts w:cs="Arial"/>
                <w:color w:val="auto"/>
                <w:szCs w:val="20"/>
              </w:rPr>
              <w:t>5,455</w:t>
            </w:r>
          </w:p>
        </w:tc>
      </w:tr>
      <w:tr w:rsidR="009A39AC" w:rsidRPr="004304D2" w:rsidTr="009A39AC">
        <w:tc>
          <w:tcPr>
            <w:tcW w:w="6195" w:type="dxa"/>
            <w:shd w:val="clear" w:color="auto" w:fill="auto"/>
          </w:tcPr>
          <w:p w:rsidR="009A39AC" w:rsidRPr="004304D2" w:rsidRDefault="009A39AC" w:rsidP="00441542">
            <w:pPr>
              <w:autoSpaceDE w:val="0"/>
              <w:autoSpaceDN w:val="0"/>
              <w:adjustRightInd w:val="0"/>
              <w:spacing w:after="0"/>
              <w:rPr>
                <w:rFonts w:cs="Arial"/>
              </w:rPr>
            </w:pPr>
            <w:r w:rsidRPr="004304D2">
              <w:rPr>
                <w:rFonts w:cs="Arial"/>
              </w:rPr>
              <w:t>Rents (including Former Tenant Arrears)</w:t>
            </w:r>
          </w:p>
        </w:tc>
        <w:tc>
          <w:tcPr>
            <w:tcW w:w="1746" w:type="dxa"/>
            <w:shd w:val="clear" w:color="auto" w:fill="auto"/>
          </w:tcPr>
          <w:p w:rsidR="009A39AC" w:rsidRPr="004304D2" w:rsidRDefault="00B772DE" w:rsidP="00441542">
            <w:pPr>
              <w:autoSpaceDE w:val="0"/>
              <w:autoSpaceDN w:val="0"/>
              <w:adjustRightInd w:val="0"/>
              <w:spacing w:after="0"/>
              <w:jc w:val="right"/>
              <w:rPr>
                <w:rFonts w:cs="Arial"/>
                <w:highlight w:val="yellow"/>
              </w:rPr>
            </w:pPr>
            <w:r w:rsidRPr="00B772DE">
              <w:rPr>
                <w:rFonts w:cs="Arial"/>
              </w:rPr>
              <w:t>1,614</w:t>
            </w:r>
          </w:p>
        </w:tc>
        <w:tc>
          <w:tcPr>
            <w:tcW w:w="1573" w:type="dxa"/>
            <w:shd w:val="clear" w:color="auto" w:fill="auto"/>
          </w:tcPr>
          <w:p w:rsidR="009A39AC" w:rsidRPr="004304D2" w:rsidRDefault="00AB77E1" w:rsidP="00441542">
            <w:pPr>
              <w:autoSpaceDE w:val="0"/>
              <w:autoSpaceDN w:val="0"/>
              <w:adjustRightInd w:val="0"/>
              <w:spacing w:after="0"/>
              <w:jc w:val="right"/>
              <w:rPr>
                <w:rFonts w:cs="Arial"/>
              </w:rPr>
            </w:pPr>
            <w:r>
              <w:rPr>
                <w:rFonts w:cs="Arial"/>
              </w:rPr>
              <w:t>939</w:t>
            </w:r>
          </w:p>
        </w:tc>
      </w:tr>
      <w:tr w:rsidR="009A39AC" w:rsidRPr="004304D2" w:rsidTr="009A39AC">
        <w:tc>
          <w:tcPr>
            <w:tcW w:w="6195" w:type="dxa"/>
            <w:shd w:val="clear" w:color="auto" w:fill="auto"/>
          </w:tcPr>
          <w:p w:rsidR="009A39AC" w:rsidRPr="004304D2" w:rsidRDefault="009A39AC" w:rsidP="00441542">
            <w:pPr>
              <w:autoSpaceDE w:val="0"/>
              <w:autoSpaceDN w:val="0"/>
              <w:adjustRightInd w:val="0"/>
              <w:spacing w:after="0"/>
              <w:rPr>
                <w:rFonts w:cs="Arial"/>
                <w:highlight w:val="yellow"/>
              </w:rPr>
            </w:pPr>
            <w:r w:rsidRPr="00726F6F">
              <w:rPr>
                <w:rFonts w:cs="Arial"/>
              </w:rPr>
              <w:t>Miscellaneous debts</w:t>
            </w:r>
          </w:p>
        </w:tc>
        <w:tc>
          <w:tcPr>
            <w:tcW w:w="1746" w:type="dxa"/>
            <w:shd w:val="clear" w:color="auto" w:fill="auto"/>
          </w:tcPr>
          <w:p w:rsidR="009A39AC" w:rsidRPr="00BB6C39" w:rsidRDefault="000B434E" w:rsidP="00441542">
            <w:pPr>
              <w:autoSpaceDE w:val="0"/>
              <w:autoSpaceDN w:val="0"/>
              <w:adjustRightInd w:val="0"/>
              <w:spacing w:after="0"/>
              <w:jc w:val="right"/>
              <w:rPr>
                <w:rFonts w:cs="Arial"/>
              </w:rPr>
            </w:pPr>
            <w:r>
              <w:t>3,872</w:t>
            </w:r>
          </w:p>
        </w:tc>
        <w:tc>
          <w:tcPr>
            <w:tcW w:w="1573" w:type="dxa"/>
            <w:shd w:val="clear" w:color="auto" w:fill="auto"/>
          </w:tcPr>
          <w:p w:rsidR="009A39AC" w:rsidRPr="00BB6C39" w:rsidRDefault="00AE5954" w:rsidP="00441542">
            <w:pPr>
              <w:autoSpaceDE w:val="0"/>
              <w:autoSpaceDN w:val="0"/>
              <w:adjustRightInd w:val="0"/>
              <w:spacing w:after="0"/>
              <w:jc w:val="right"/>
              <w:rPr>
                <w:rFonts w:cs="Arial"/>
              </w:rPr>
            </w:pPr>
            <w:r>
              <w:rPr>
                <w:rFonts w:cs="Arial"/>
              </w:rPr>
              <w:t>273</w:t>
            </w:r>
          </w:p>
        </w:tc>
      </w:tr>
      <w:tr w:rsidR="009A39AC" w:rsidRPr="004304D2" w:rsidTr="009A39AC">
        <w:tc>
          <w:tcPr>
            <w:tcW w:w="6195" w:type="dxa"/>
            <w:shd w:val="clear" w:color="auto" w:fill="auto"/>
          </w:tcPr>
          <w:p w:rsidR="009A39AC" w:rsidRPr="00BB6C39" w:rsidRDefault="009A39AC" w:rsidP="00441542">
            <w:pPr>
              <w:autoSpaceDE w:val="0"/>
              <w:autoSpaceDN w:val="0"/>
              <w:adjustRightInd w:val="0"/>
              <w:spacing w:after="0"/>
              <w:rPr>
                <w:rFonts w:cs="Arial"/>
              </w:rPr>
            </w:pPr>
            <w:r w:rsidRPr="00BB6C39">
              <w:rPr>
                <w:rFonts w:cs="Arial"/>
              </w:rPr>
              <w:t>Excess charges notices</w:t>
            </w:r>
          </w:p>
        </w:tc>
        <w:tc>
          <w:tcPr>
            <w:tcW w:w="1746" w:type="dxa"/>
            <w:shd w:val="clear" w:color="auto" w:fill="auto"/>
          </w:tcPr>
          <w:p w:rsidR="009A39AC" w:rsidRPr="00BB6C39" w:rsidRDefault="00BB6C39" w:rsidP="00441542">
            <w:pPr>
              <w:autoSpaceDE w:val="0"/>
              <w:autoSpaceDN w:val="0"/>
              <w:adjustRightInd w:val="0"/>
              <w:spacing w:after="0"/>
              <w:jc w:val="right"/>
              <w:rPr>
                <w:rFonts w:cs="Arial"/>
              </w:rPr>
            </w:pPr>
            <w:r w:rsidRPr="00BB6C39">
              <w:rPr>
                <w:rFonts w:cs="Arial"/>
              </w:rPr>
              <w:t>43</w:t>
            </w:r>
          </w:p>
        </w:tc>
        <w:tc>
          <w:tcPr>
            <w:tcW w:w="1573" w:type="dxa"/>
            <w:shd w:val="clear" w:color="auto" w:fill="auto"/>
          </w:tcPr>
          <w:p w:rsidR="009A39AC" w:rsidRPr="00BB6C39" w:rsidRDefault="00BB6C39" w:rsidP="00441542">
            <w:pPr>
              <w:autoSpaceDE w:val="0"/>
              <w:autoSpaceDN w:val="0"/>
              <w:adjustRightInd w:val="0"/>
              <w:spacing w:after="0"/>
              <w:jc w:val="right"/>
              <w:rPr>
                <w:rFonts w:cs="Arial"/>
              </w:rPr>
            </w:pPr>
            <w:r w:rsidRPr="00BB6C39">
              <w:rPr>
                <w:rFonts w:cs="Arial"/>
              </w:rPr>
              <w:t>30</w:t>
            </w:r>
          </w:p>
        </w:tc>
      </w:tr>
      <w:tr w:rsidR="009A39AC" w:rsidRPr="004304D2" w:rsidTr="009A39AC">
        <w:tc>
          <w:tcPr>
            <w:tcW w:w="6195" w:type="dxa"/>
            <w:shd w:val="clear" w:color="auto" w:fill="auto"/>
          </w:tcPr>
          <w:p w:rsidR="009A39AC" w:rsidRPr="004304D2" w:rsidRDefault="009A39AC" w:rsidP="00441542">
            <w:pPr>
              <w:autoSpaceDE w:val="0"/>
              <w:autoSpaceDN w:val="0"/>
              <w:adjustRightInd w:val="0"/>
              <w:spacing w:after="0"/>
              <w:rPr>
                <w:rFonts w:cs="Arial"/>
              </w:rPr>
            </w:pPr>
            <w:r w:rsidRPr="004304D2">
              <w:rPr>
                <w:rFonts w:cs="Arial"/>
              </w:rPr>
              <w:t>Total</w:t>
            </w:r>
          </w:p>
        </w:tc>
        <w:tc>
          <w:tcPr>
            <w:tcW w:w="1746" w:type="dxa"/>
            <w:shd w:val="clear" w:color="auto" w:fill="auto"/>
          </w:tcPr>
          <w:p w:rsidR="009A39AC" w:rsidRPr="004304D2" w:rsidRDefault="00726F6F" w:rsidP="00441542">
            <w:pPr>
              <w:autoSpaceDE w:val="0"/>
              <w:autoSpaceDN w:val="0"/>
              <w:adjustRightInd w:val="0"/>
              <w:spacing w:after="0"/>
              <w:jc w:val="right"/>
              <w:rPr>
                <w:rFonts w:cs="Arial"/>
              </w:rPr>
            </w:pPr>
            <w:r>
              <w:rPr>
                <w:rFonts w:cs="Arial"/>
              </w:rPr>
              <w:t>23,353</w:t>
            </w:r>
          </w:p>
        </w:tc>
        <w:tc>
          <w:tcPr>
            <w:tcW w:w="1573" w:type="dxa"/>
            <w:shd w:val="clear" w:color="auto" w:fill="auto"/>
          </w:tcPr>
          <w:p w:rsidR="009A39AC" w:rsidRPr="004304D2" w:rsidRDefault="00726F6F" w:rsidP="00441542">
            <w:pPr>
              <w:autoSpaceDE w:val="0"/>
              <w:autoSpaceDN w:val="0"/>
              <w:adjustRightInd w:val="0"/>
              <w:spacing w:after="0"/>
              <w:jc w:val="right"/>
              <w:rPr>
                <w:rFonts w:cs="Arial"/>
              </w:rPr>
            </w:pPr>
            <w:r>
              <w:rPr>
                <w:rFonts w:cs="Arial"/>
              </w:rPr>
              <w:t>11,499</w:t>
            </w:r>
          </w:p>
        </w:tc>
      </w:tr>
    </w:tbl>
    <w:p w:rsidR="009A39AC" w:rsidRDefault="009A39AC" w:rsidP="007577A7">
      <w:pPr>
        <w:autoSpaceDE w:val="0"/>
        <w:autoSpaceDN w:val="0"/>
        <w:adjustRightInd w:val="0"/>
        <w:spacing w:after="0"/>
        <w:jc w:val="both"/>
        <w:rPr>
          <w:color w:val="auto"/>
        </w:rPr>
      </w:pPr>
    </w:p>
    <w:p w:rsidR="00D655B5" w:rsidRPr="004B4D8F" w:rsidRDefault="00D655B5" w:rsidP="007577A7">
      <w:pPr>
        <w:autoSpaceDE w:val="0"/>
        <w:autoSpaceDN w:val="0"/>
        <w:adjustRightInd w:val="0"/>
        <w:spacing w:after="0"/>
        <w:jc w:val="both"/>
        <w:rPr>
          <w:color w:val="auto"/>
        </w:rPr>
      </w:pPr>
      <w:r w:rsidRPr="004B4D8F">
        <w:rPr>
          <w:color w:val="auto"/>
        </w:rPr>
        <w:t>Write-offs 2017/18 and 18/19 to date</w:t>
      </w:r>
      <w:r w:rsidR="00EE1AAD" w:rsidRPr="004B4D8F">
        <w:rPr>
          <w:color w:val="auto"/>
        </w:rPr>
        <w:t xml:space="preserve"> </w:t>
      </w:r>
    </w:p>
    <w:tbl>
      <w:tblPr>
        <w:tblStyle w:val="TableGrid"/>
        <w:tblW w:w="0" w:type="auto"/>
        <w:tblLook w:val="04A0" w:firstRow="1" w:lastRow="0" w:firstColumn="1" w:lastColumn="0" w:noHBand="0" w:noVBand="1"/>
      </w:tblPr>
      <w:tblGrid>
        <w:gridCol w:w="5211"/>
        <w:gridCol w:w="2268"/>
        <w:gridCol w:w="1985"/>
      </w:tblGrid>
      <w:tr w:rsidR="008753D5" w:rsidRPr="004B4D8F" w:rsidTr="008753D5">
        <w:tc>
          <w:tcPr>
            <w:tcW w:w="5211" w:type="dxa"/>
          </w:tcPr>
          <w:p w:rsidR="008753D5" w:rsidRPr="004B4D8F" w:rsidRDefault="008753D5" w:rsidP="007577A7">
            <w:pPr>
              <w:autoSpaceDE w:val="0"/>
              <w:autoSpaceDN w:val="0"/>
              <w:adjustRightInd w:val="0"/>
              <w:spacing w:after="0"/>
              <w:jc w:val="both"/>
              <w:rPr>
                <w:color w:val="auto"/>
              </w:rPr>
            </w:pPr>
          </w:p>
        </w:tc>
        <w:tc>
          <w:tcPr>
            <w:tcW w:w="2268" w:type="dxa"/>
          </w:tcPr>
          <w:p w:rsidR="008753D5" w:rsidRPr="004B4D8F" w:rsidRDefault="008753D5" w:rsidP="007577A7">
            <w:pPr>
              <w:autoSpaceDE w:val="0"/>
              <w:autoSpaceDN w:val="0"/>
              <w:adjustRightInd w:val="0"/>
              <w:spacing w:after="0"/>
              <w:jc w:val="both"/>
              <w:rPr>
                <w:color w:val="auto"/>
              </w:rPr>
            </w:pPr>
            <w:r w:rsidRPr="004B4D8F">
              <w:rPr>
                <w:color w:val="auto"/>
              </w:rPr>
              <w:t>2017/18</w:t>
            </w:r>
          </w:p>
        </w:tc>
        <w:tc>
          <w:tcPr>
            <w:tcW w:w="1985" w:type="dxa"/>
          </w:tcPr>
          <w:p w:rsidR="008753D5" w:rsidRPr="004B4D8F" w:rsidRDefault="008753D5" w:rsidP="007577A7">
            <w:pPr>
              <w:autoSpaceDE w:val="0"/>
              <w:autoSpaceDN w:val="0"/>
              <w:adjustRightInd w:val="0"/>
              <w:spacing w:after="0"/>
              <w:jc w:val="both"/>
              <w:rPr>
                <w:color w:val="auto"/>
              </w:rPr>
            </w:pPr>
            <w:r w:rsidRPr="004B4D8F">
              <w:rPr>
                <w:color w:val="auto"/>
              </w:rPr>
              <w:t>2018/19</w:t>
            </w:r>
            <w:r w:rsidR="00E841E7" w:rsidRPr="004B4D8F">
              <w:rPr>
                <w:color w:val="auto"/>
              </w:rPr>
              <w:t xml:space="preserve"> to date</w:t>
            </w:r>
          </w:p>
        </w:tc>
      </w:tr>
      <w:tr w:rsidR="008753D5" w:rsidRPr="004B4D8F" w:rsidTr="008753D5">
        <w:tc>
          <w:tcPr>
            <w:tcW w:w="5211" w:type="dxa"/>
          </w:tcPr>
          <w:p w:rsidR="008753D5" w:rsidRPr="004B4D8F" w:rsidRDefault="008753D5" w:rsidP="007577A7">
            <w:pPr>
              <w:autoSpaceDE w:val="0"/>
              <w:autoSpaceDN w:val="0"/>
              <w:adjustRightInd w:val="0"/>
              <w:spacing w:after="0"/>
              <w:jc w:val="both"/>
              <w:rPr>
                <w:color w:val="auto"/>
              </w:rPr>
            </w:pPr>
          </w:p>
        </w:tc>
        <w:tc>
          <w:tcPr>
            <w:tcW w:w="2268" w:type="dxa"/>
          </w:tcPr>
          <w:p w:rsidR="008753D5" w:rsidRPr="004B4D8F" w:rsidRDefault="008753D5" w:rsidP="007577A7">
            <w:pPr>
              <w:autoSpaceDE w:val="0"/>
              <w:autoSpaceDN w:val="0"/>
              <w:adjustRightInd w:val="0"/>
              <w:spacing w:after="0"/>
              <w:jc w:val="both"/>
              <w:rPr>
                <w:color w:val="auto"/>
              </w:rPr>
            </w:pPr>
            <w:r w:rsidRPr="004B4D8F">
              <w:rPr>
                <w:color w:val="auto"/>
              </w:rPr>
              <w:t>£000’s</w:t>
            </w:r>
          </w:p>
        </w:tc>
        <w:tc>
          <w:tcPr>
            <w:tcW w:w="1985" w:type="dxa"/>
          </w:tcPr>
          <w:p w:rsidR="008753D5" w:rsidRPr="004B4D8F" w:rsidRDefault="008753D5" w:rsidP="007577A7">
            <w:pPr>
              <w:autoSpaceDE w:val="0"/>
              <w:autoSpaceDN w:val="0"/>
              <w:adjustRightInd w:val="0"/>
              <w:spacing w:after="0"/>
              <w:jc w:val="both"/>
              <w:rPr>
                <w:color w:val="auto"/>
              </w:rPr>
            </w:pPr>
            <w:r w:rsidRPr="004B4D8F">
              <w:rPr>
                <w:color w:val="auto"/>
              </w:rPr>
              <w:t>£000’s</w:t>
            </w:r>
          </w:p>
        </w:tc>
      </w:tr>
      <w:tr w:rsidR="008753D5" w:rsidRPr="004B4D8F" w:rsidTr="008753D5">
        <w:tc>
          <w:tcPr>
            <w:tcW w:w="5211" w:type="dxa"/>
          </w:tcPr>
          <w:p w:rsidR="008753D5" w:rsidRPr="004B4D8F" w:rsidRDefault="008753D5" w:rsidP="00EE1AAD">
            <w:pPr>
              <w:autoSpaceDE w:val="0"/>
              <w:autoSpaceDN w:val="0"/>
              <w:adjustRightInd w:val="0"/>
              <w:spacing w:after="0"/>
              <w:jc w:val="both"/>
              <w:rPr>
                <w:color w:val="auto"/>
              </w:rPr>
            </w:pPr>
            <w:r w:rsidRPr="004B4D8F">
              <w:rPr>
                <w:color w:val="auto"/>
              </w:rPr>
              <w:t>Business Rates</w:t>
            </w:r>
          </w:p>
        </w:tc>
        <w:tc>
          <w:tcPr>
            <w:tcW w:w="2268" w:type="dxa"/>
          </w:tcPr>
          <w:p w:rsidR="008753D5" w:rsidRPr="004B4D8F" w:rsidRDefault="000D076F" w:rsidP="007577A7">
            <w:pPr>
              <w:autoSpaceDE w:val="0"/>
              <w:autoSpaceDN w:val="0"/>
              <w:adjustRightInd w:val="0"/>
              <w:spacing w:after="0"/>
              <w:jc w:val="both"/>
              <w:rPr>
                <w:color w:val="auto"/>
              </w:rPr>
            </w:pPr>
            <w:r w:rsidRPr="004B4D8F">
              <w:rPr>
                <w:color w:val="auto"/>
              </w:rPr>
              <w:t>400</w:t>
            </w:r>
          </w:p>
        </w:tc>
        <w:tc>
          <w:tcPr>
            <w:tcW w:w="1985" w:type="dxa"/>
          </w:tcPr>
          <w:p w:rsidR="008753D5" w:rsidRPr="004B4D8F" w:rsidRDefault="000D076F" w:rsidP="007577A7">
            <w:pPr>
              <w:autoSpaceDE w:val="0"/>
              <w:autoSpaceDN w:val="0"/>
              <w:adjustRightInd w:val="0"/>
              <w:spacing w:after="0"/>
              <w:jc w:val="both"/>
              <w:rPr>
                <w:color w:val="auto"/>
              </w:rPr>
            </w:pPr>
            <w:r w:rsidRPr="004B4D8F">
              <w:rPr>
                <w:color w:val="auto"/>
              </w:rPr>
              <w:t>630</w:t>
            </w:r>
          </w:p>
        </w:tc>
      </w:tr>
      <w:tr w:rsidR="008753D5" w:rsidRPr="004B4D8F" w:rsidTr="008753D5">
        <w:tc>
          <w:tcPr>
            <w:tcW w:w="5211" w:type="dxa"/>
          </w:tcPr>
          <w:p w:rsidR="008753D5" w:rsidRPr="004B4D8F" w:rsidRDefault="008753D5" w:rsidP="00EE1AAD">
            <w:pPr>
              <w:autoSpaceDE w:val="0"/>
              <w:autoSpaceDN w:val="0"/>
              <w:adjustRightInd w:val="0"/>
              <w:spacing w:after="0"/>
              <w:jc w:val="both"/>
              <w:rPr>
                <w:color w:val="auto"/>
              </w:rPr>
            </w:pPr>
            <w:r w:rsidRPr="004B4D8F">
              <w:rPr>
                <w:color w:val="auto"/>
              </w:rPr>
              <w:t>Council Tax</w:t>
            </w:r>
          </w:p>
        </w:tc>
        <w:tc>
          <w:tcPr>
            <w:tcW w:w="2268" w:type="dxa"/>
          </w:tcPr>
          <w:p w:rsidR="008753D5" w:rsidRPr="004B4D8F" w:rsidRDefault="000D076F" w:rsidP="007577A7">
            <w:pPr>
              <w:autoSpaceDE w:val="0"/>
              <w:autoSpaceDN w:val="0"/>
              <w:adjustRightInd w:val="0"/>
              <w:spacing w:after="0"/>
              <w:jc w:val="both"/>
              <w:rPr>
                <w:color w:val="auto"/>
              </w:rPr>
            </w:pPr>
            <w:r w:rsidRPr="004B4D8F">
              <w:rPr>
                <w:color w:val="auto"/>
              </w:rPr>
              <w:t>432</w:t>
            </w:r>
          </w:p>
        </w:tc>
        <w:tc>
          <w:tcPr>
            <w:tcW w:w="1985" w:type="dxa"/>
          </w:tcPr>
          <w:p w:rsidR="008753D5" w:rsidRPr="004B4D8F" w:rsidRDefault="000D076F" w:rsidP="007577A7">
            <w:pPr>
              <w:autoSpaceDE w:val="0"/>
              <w:autoSpaceDN w:val="0"/>
              <w:adjustRightInd w:val="0"/>
              <w:spacing w:after="0"/>
              <w:jc w:val="both"/>
              <w:rPr>
                <w:color w:val="auto"/>
              </w:rPr>
            </w:pPr>
            <w:r w:rsidRPr="004B4D8F">
              <w:rPr>
                <w:color w:val="auto"/>
              </w:rPr>
              <w:t>585</w:t>
            </w:r>
          </w:p>
        </w:tc>
      </w:tr>
      <w:tr w:rsidR="008753D5" w:rsidRPr="004B4D8F" w:rsidTr="008753D5">
        <w:tc>
          <w:tcPr>
            <w:tcW w:w="5211" w:type="dxa"/>
          </w:tcPr>
          <w:p w:rsidR="008753D5" w:rsidRPr="004B4D8F" w:rsidRDefault="008753D5" w:rsidP="00EE1AAD">
            <w:pPr>
              <w:autoSpaceDE w:val="0"/>
              <w:autoSpaceDN w:val="0"/>
              <w:adjustRightInd w:val="0"/>
              <w:spacing w:after="0"/>
              <w:jc w:val="both"/>
              <w:rPr>
                <w:color w:val="auto"/>
              </w:rPr>
            </w:pPr>
            <w:r w:rsidRPr="004B4D8F">
              <w:rPr>
                <w:color w:val="auto"/>
              </w:rPr>
              <w:t>Overpaid Housing Benefit</w:t>
            </w:r>
            <w:r w:rsidR="00E841E7" w:rsidRPr="004B4D8F">
              <w:rPr>
                <w:color w:val="auto"/>
              </w:rPr>
              <w:t>s</w:t>
            </w:r>
          </w:p>
        </w:tc>
        <w:tc>
          <w:tcPr>
            <w:tcW w:w="2268" w:type="dxa"/>
          </w:tcPr>
          <w:p w:rsidR="008753D5" w:rsidRPr="004B4D8F" w:rsidRDefault="008753D5" w:rsidP="007577A7">
            <w:pPr>
              <w:autoSpaceDE w:val="0"/>
              <w:autoSpaceDN w:val="0"/>
              <w:adjustRightInd w:val="0"/>
              <w:spacing w:after="0"/>
              <w:jc w:val="both"/>
              <w:rPr>
                <w:color w:val="auto"/>
              </w:rPr>
            </w:pPr>
            <w:r w:rsidRPr="004B4D8F">
              <w:rPr>
                <w:color w:val="auto"/>
              </w:rPr>
              <w:t>491</w:t>
            </w:r>
          </w:p>
        </w:tc>
        <w:tc>
          <w:tcPr>
            <w:tcW w:w="1985" w:type="dxa"/>
          </w:tcPr>
          <w:p w:rsidR="008753D5" w:rsidRPr="004B4D8F" w:rsidRDefault="008753D5" w:rsidP="007577A7">
            <w:pPr>
              <w:autoSpaceDE w:val="0"/>
              <w:autoSpaceDN w:val="0"/>
              <w:adjustRightInd w:val="0"/>
              <w:spacing w:after="0"/>
              <w:jc w:val="both"/>
              <w:rPr>
                <w:color w:val="auto"/>
              </w:rPr>
            </w:pPr>
            <w:r w:rsidRPr="004B4D8F">
              <w:rPr>
                <w:color w:val="auto"/>
              </w:rPr>
              <w:t>715</w:t>
            </w:r>
          </w:p>
        </w:tc>
      </w:tr>
      <w:tr w:rsidR="008753D5" w:rsidRPr="004B4D8F" w:rsidTr="008753D5">
        <w:tc>
          <w:tcPr>
            <w:tcW w:w="5211" w:type="dxa"/>
          </w:tcPr>
          <w:p w:rsidR="008753D5" w:rsidRPr="004B4D8F" w:rsidRDefault="008753D5" w:rsidP="00EE1AAD">
            <w:pPr>
              <w:autoSpaceDE w:val="0"/>
              <w:autoSpaceDN w:val="0"/>
              <w:adjustRightInd w:val="0"/>
              <w:spacing w:after="0"/>
              <w:jc w:val="both"/>
              <w:rPr>
                <w:color w:val="auto"/>
              </w:rPr>
            </w:pPr>
            <w:r w:rsidRPr="004B4D8F">
              <w:rPr>
                <w:color w:val="auto"/>
              </w:rPr>
              <w:t>Rents, Garages and Leaseholders</w:t>
            </w:r>
          </w:p>
        </w:tc>
        <w:tc>
          <w:tcPr>
            <w:tcW w:w="2268" w:type="dxa"/>
          </w:tcPr>
          <w:p w:rsidR="008753D5" w:rsidRPr="004B4D8F" w:rsidRDefault="008753D5" w:rsidP="007577A7">
            <w:pPr>
              <w:autoSpaceDE w:val="0"/>
              <w:autoSpaceDN w:val="0"/>
              <w:adjustRightInd w:val="0"/>
              <w:spacing w:after="0"/>
              <w:jc w:val="both"/>
              <w:rPr>
                <w:color w:val="auto"/>
              </w:rPr>
            </w:pPr>
            <w:r w:rsidRPr="004B4D8F">
              <w:rPr>
                <w:color w:val="auto"/>
              </w:rPr>
              <w:t>210</w:t>
            </w:r>
          </w:p>
        </w:tc>
        <w:tc>
          <w:tcPr>
            <w:tcW w:w="1985" w:type="dxa"/>
          </w:tcPr>
          <w:p w:rsidR="008753D5" w:rsidRPr="004B4D8F" w:rsidRDefault="008753D5" w:rsidP="007577A7">
            <w:pPr>
              <w:autoSpaceDE w:val="0"/>
              <w:autoSpaceDN w:val="0"/>
              <w:adjustRightInd w:val="0"/>
              <w:spacing w:after="0"/>
              <w:jc w:val="both"/>
              <w:rPr>
                <w:color w:val="auto"/>
              </w:rPr>
            </w:pPr>
            <w:r w:rsidRPr="004B4D8F">
              <w:rPr>
                <w:color w:val="auto"/>
              </w:rPr>
              <w:t>221</w:t>
            </w:r>
          </w:p>
        </w:tc>
      </w:tr>
      <w:tr w:rsidR="008753D5" w:rsidRPr="004B4D8F" w:rsidTr="008753D5">
        <w:tc>
          <w:tcPr>
            <w:tcW w:w="5211" w:type="dxa"/>
          </w:tcPr>
          <w:p w:rsidR="008753D5" w:rsidRPr="004B4D8F" w:rsidRDefault="008753D5" w:rsidP="00EE1AAD">
            <w:pPr>
              <w:autoSpaceDE w:val="0"/>
              <w:autoSpaceDN w:val="0"/>
              <w:adjustRightInd w:val="0"/>
              <w:spacing w:after="0"/>
              <w:jc w:val="both"/>
              <w:rPr>
                <w:color w:val="auto"/>
              </w:rPr>
            </w:pPr>
            <w:r w:rsidRPr="004B4D8F">
              <w:rPr>
                <w:color w:val="auto"/>
              </w:rPr>
              <w:t>Miscellaneous debt</w:t>
            </w:r>
          </w:p>
        </w:tc>
        <w:tc>
          <w:tcPr>
            <w:tcW w:w="2268" w:type="dxa"/>
          </w:tcPr>
          <w:p w:rsidR="008753D5" w:rsidRPr="004B4D8F" w:rsidRDefault="00E841E7" w:rsidP="007577A7">
            <w:pPr>
              <w:autoSpaceDE w:val="0"/>
              <w:autoSpaceDN w:val="0"/>
              <w:adjustRightInd w:val="0"/>
              <w:spacing w:after="0"/>
              <w:jc w:val="both"/>
              <w:rPr>
                <w:color w:val="auto"/>
              </w:rPr>
            </w:pPr>
            <w:r w:rsidRPr="004B4D8F">
              <w:rPr>
                <w:color w:val="auto"/>
              </w:rPr>
              <w:t>204</w:t>
            </w:r>
          </w:p>
        </w:tc>
        <w:tc>
          <w:tcPr>
            <w:tcW w:w="1985" w:type="dxa"/>
          </w:tcPr>
          <w:p w:rsidR="008753D5" w:rsidRPr="004B4D8F" w:rsidRDefault="00E841E7" w:rsidP="007577A7">
            <w:pPr>
              <w:autoSpaceDE w:val="0"/>
              <w:autoSpaceDN w:val="0"/>
              <w:adjustRightInd w:val="0"/>
              <w:spacing w:after="0"/>
              <w:jc w:val="both"/>
              <w:rPr>
                <w:color w:val="auto"/>
              </w:rPr>
            </w:pPr>
            <w:r w:rsidRPr="004B4D8F">
              <w:rPr>
                <w:color w:val="auto"/>
              </w:rPr>
              <w:t>77</w:t>
            </w:r>
          </w:p>
        </w:tc>
      </w:tr>
      <w:tr w:rsidR="008753D5" w:rsidRPr="004B4D8F" w:rsidTr="008753D5">
        <w:tc>
          <w:tcPr>
            <w:tcW w:w="5211" w:type="dxa"/>
          </w:tcPr>
          <w:p w:rsidR="008753D5" w:rsidRPr="004B4D8F" w:rsidRDefault="008753D5" w:rsidP="00EE1AAD">
            <w:pPr>
              <w:autoSpaceDE w:val="0"/>
              <w:autoSpaceDN w:val="0"/>
              <w:adjustRightInd w:val="0"/>
              <w:spacing w:after="0"/>
              <w:jc w:val="both"/>
              <w:rPr>
                <w:color w:val="auto"/>
              </w:rPr>
            </w:pPr>
            <w:r w:rsidRPr="004B4D8F">
              <w:rPr>
                <w:color w:val="auto"/>
              </w:rPr>
              <w:t>Excess charges notices</w:t>
            </w:r>
          </w:p>
        </w:tc>
        <w:tc>
          <w:tcPr>
            <w:tcW w:w="2268" w:type="dxa"/>
          </w:tcPr>
          <w:p w:rsidR="008753D5" w:rsidRPr="004B4D8F" w:rsidRDefault="008753D5" w:rsidP="007577A7">
            <w:pPr>
              <w:autoSpaceDE w:val="0"/>
              <w:autoSpaceDN w:val="0"/>
              <w:adjustRightInd w:val="0"/>
              <w:spacing w:after="0"/>
              <w:jc w:val="both"/>
              <w:rPr>
                <w:color w:val="auto"/>
              </w:rPr>
            </w:pPr>
            <w:r w:rsidRPr="004B4D8F">
              <w:rPr>
                <w:color w:val="auto"/>
              </w:rPr>
              <w:t>37</w:t>
            </w:r>
          </w:p>
        </w:tc>
        <w:tc>
          <w:tcPr>
            <w:tcW w:w="1985" w:type="dxa"/>
          </w:tcPr>
          <w:p w:rsidR="008753D5" w:rsidRPr="004B4D8F" w:rsidRDefault="008753D5" w:rsidP="007577A7">
            <w:pPr>
              <w:autoSpaceDE w:val="0"/>
              <w:autoSpaceDN w:val="0"/>
              <w:adjustRightInd w:val="0"/>
              <w:spacing w:after="0"/>
              <w:jc w:val="both"/>
              <w:rPr>
                <w:color w:val="auto"/>
              </w:rPr>
            </w:pPr>
            <w:r w:rsidRPr="004B4D8F">
              <w:rPr>
                <w:color w:val="auto"/>
              </w:rPr>
              <w:t>45</w:t>
            </w:r>
          </w:p>
        </w:tc>
      </w:tr>
      <w:tr w:rsidR="004B4D8F" w:rsidTr="008753D5">
        <w:tc>
          <w:tcPr>
            <w:tcW w:w="5211" w:type="dxa"/>
          </w:tcPr>
          <w:p w:rsidR="004B4D8F" w:rsidRPr="004B4D8F" w:rsidRDefault="004B4D8F" w:rsidP="00EE1AAD">
            <w:pPr>
              <w:autoSpaceDE w:val="0"/>
              <w:autoSpaceDN w:val="0"/>
              <w:adjustRightInd w:val="0"/>
              <w:spacing w:after="0"/>
              <w:jc w:val="both"/>
              <w:rPr>
                <w:color w:val="auto"/>
              </w:rPr>
            </w:pPr>
            <w:r w:rsidRPr="004B4D8F">
              <w:rPr>
                <w:color w:val="auto"/>
              </w:rPr>
              <w:t>Total</w:t>
            </w:r>
          </w:p>
        </w:tc>
        <w:tc>
          <w:tcPr>
            <w:tcW w:w="2268" w:type="dxa"/>
          </w:tcPr>
          <w:p w:rsidR="004B4D8F" w:rsidRPr="004B4D8F" w:rsidRDefault="004B4D8F" w:rsidP="007577A7">
            <w:pPr>
              <w:autoSpaceDE w:val="0"/>
              <w:autoSpaceDN w:val="0"/>
              <w:adjustRightInd w:val="0"/>
              <w:spacing w:after="0"/>
              <w:jc w:val="both"/>
              <w:rPr>
                <w:color w:val="auto"/>
              </w:rPr>
            </w:pPr>
            <w:r w:rsidRPr="004B4D8F">
              <w:rPr>
                <w:color w:val="auto"/>
              </w:rPr>
              <w:t>1,774</w:t>
            </w:r>
          </w:p>
        </w:tc>
        <w:tc>
          <w:tcPr>
            <w:tcW w:w="1985" w:type="dxa"/>
          </w:tcPr>
          <w:p w:rsidR="004B4D8F" w:rsidRPr="004B4D8F" w:rsidRDefault="004B4D8F" w:rsidP="007577A7">
            <w:pPr>
              <w:autoSpaceDE w:val="0"/>
              <w:autoSpaceDN w:val="0"/>
              <w:adjustRightInd w:val="0"/>
              <w:spacing w:after="0"/>
              <w:jc w:val="both"/>
              <w:rPr>
                <w:color w:val="auto"/>
              </w:rPr>
            </w:pPr>
            <w:r w:rsidRPr="004B4D8F">
              <w:rPr>
                <w:color w:val="auto"/>
              </w:rPr>
              <w:t>2,273</w:t>
            </w:r>
          </w:p>
        </w:tc>
      </w:tr>
    </w:tbl>
    <w:p w:rsidR="00D655B5" w:rsidRDefault="00D655B5" w:rsidP="007577A7">
      <w:pPr>
        <w:autoSpaceDE w:val="0"/>
        <w:autoSpaceDN w:val="0"/>
        <w:adjustRightInd w:val="0"/>
        <w:spacing w:after="0"/>
        <w:jc w:val="both"/>
        <w:rPr>
          <w:color w:val="auto"/>
        </w:rPr>
      </w:pPr>
    </w:p>
    <w:p w:rsidR="00780478" w:rsidRPr="00780478" w:rsidRDefault="00780478" w:rsidP="00780478">
      <w:pPr>
        <w:autoSpaceDE w:val="0"/>
        <w:autoSpaceDN w:val="0"/>
        <w:adjustRightInd w:val="0"/>
        <w:spacing w:after="0"/>
        <w:ind w:left="180"/>
        <w:jc w:val="both"/>
        <w:rPr>
          <w:color w:val="auto"/>
        </w:rPr>
      </w:pPr>
    </w:p>
    <w:p w:rsidR="00E55AE3" w:rsidRDefault="00B21A95" w:rsidP="00DC022D">
      <w:pPr>
        <w:numPr>
          <w:ilvl w:val="0"/>
          <w:numId w:val="44"/>
        </w:numPr>
        <w:autoSpaceDE w:val="0"/>
        <w:autoSpaceDN w:val="0"/>
        <w:adjustRightInd w:val="0"/>
        <w:spacing w:after="0"/>
        <w:jc w:val="both"/>
        <w:rPr>
          <w:color w:val="auto"/>
        </w:rPr>
      </w:pPr>
      <w:r w:rsidRPr="00A81D70">
        <w:rPr>
          <w:color w:val="auto"/>
        </w:rPr>
        <w:t>If we were to assume</w:t>
      </w:r>
      <w:r w:rsidR="00E55AE3" w:rsidRPr="00A81D70">
        <w:rPr>
          <w:color w:val="auto"/>
        </w:rPr>
        <w:t xml:space="preserve"> that the majority of the outstan</w:t>
      </w:r>
      <w:r w:rsidRPr="00A81D70">
        <w:rPr>
          <w:color w:val="auto"/>
        </w:rPr>
        <w:t>ding debt is up to ten years of cumulative debt</w:t>
      </w:r>
      <w:r w:rsidR="00E55AE3" w:rsidRPr="00A81D70">
        <w:rPr>
          <w:color w:val="auto"/>
        </w:rPr>
        <w:t>, then based on the amount of debit raised over the ten years, the % of debt outstanding is approxima</w:t>
      </w:r>
      <w:r w:rsidR="00287619" w:rsidRPr="00A81D70">
        <w:rPr>
          <w:color w:val="auto"/>
        </w:rPr>
        <w:t xml:space="preserve">tely </w:t>
      </w:r>
      <w:r w:rsidR="00E55AE3" w:rsidRPr="00A81D70">
        <w:rPr>
          <w:color w:val="auto"/>
        </w:rPr>
        <w:t>1% overall.</w:t>
      </w:r>
    </w:p>
    <w:p w:rsidR="00874B82" w:rsidRDefault="00874B82" w:rsidP="00874B82">
      <w:pPr>
        <w:autoSpaceDE w:val="0"/>
        <w:autoSpaceDN w:val="0"/>
        <w:adjustRightInd w:val="0"/>
        <w:spacing w:after="0"/>
        <w:jc w:val="both"/>
        <w:rPr>
          <w:color w:val="auto"/>
        </w:rPr>
      </w:pPr>
    </w:p>
    <w:p w:rsidR="00874B82" w:rsidRPr="00A81D70" w:rsidRDefault="00874B82" w:rsidP="00874B82">
      <w:pPr>
        <w:autoSpaceDE w:val="0"/>
        <w:autoSpaceDN w:val="0"/>
        <w:adjustRightInd w:val="0"/>
        <w:spacing w:after="0"/>
        <w:jc w:val="both"/>
        <w:rPr>
          <w:color w:val="auto"/>
        </w:rPr>
      </w:pPr>
    </w:p>
    <w:p w:rsidR="00E55AE3" w:rsidRDefault="00E55AE3" w:rsidP="00E55AE3">
      <w:pPr>
        <w:autoSpaceDE w:val="0"/>
        <w:autoSpaceDN w:val="0"/>
        <w:adjustRightInd w:val="0"/>
        <w:spacing w:after="0"/>
        <w:ind w:left="540"/>
        <w:jc w:val="both"/>
        <w:rPr>
          <w:color w:val="auto"/>
        </w:rPr>
      </w:pPr>
    </w:p>
    <w:p w:rsidR="00230D9C" w:rsidRDefault="00230D9C" w:rsidP="00DC022D">
      <w:pPr>
        <w:numPr>
          <w:ilvl w:val="0"/>
          <w:numId w:val="44"/>
        </w:numPr>
        <w:autoSpaceDE w:val="0"/>
        <w:autoSpaceDN w:val="0"/>
        <w:adjustRightInd w:val="0"/>
        <w:spacing w:after="0"/>
        <w:jc w:val="both"/>
        <w:rPr>
          <w:color w:val="auto"/>
        </w:rPr>
      </w:pPr>
      <w:r>
        <w:rPr>
          <w:color w:val="auto"/>
        </w:rPr>
        <w:lastRenderedPageBreak/>
        <w:t xml:space="preserve">The oldest and </w:t>
      </w:r>
      <w:r w:rsidR="00427DF4">
        <w:rPr>
          <w:color w:val="auto"/>
        </w:rPr>
        <w:t>highest debt</w:t>
      </w:r>
      <w:r w:rsidR="003949BF">
        <w:rPr>
          <w:color w:val="auto"/>
        </w:rPr>
        <w:t xml:space="preserve"> for each debt type are</w:t>
      </w:r>
      <w:r>
        <w:rPr>
          <w:color w:val="auto"/>
        </w:rPr>
        <w:t>:</w:t>
      </w:r>
    </w:p>
    <w:p w:rsidR="003949BF" w:rsidRDefault="005F5514" w:rsidP="003949BF">
      <w:pPr>
        <w:pStyle w:val="ListParagraph"/>
        <w:numPr>
          <w:ilvl w:val="0"/>
          <w:numId w:val="43"/>
        </w:numPr>
      </w:pPr>
      <w:r w:rsidRPr="007E1F97">
        <w:t>F</w:t>
      </w:r>
      <w:r w:rsidR="00230D9C" w:rsidRPr="007E1F97">
        <w:t xml:space="preserve">or Council Tax </w:t>
      </w:r>
      <w:r w:rsidRPr="007E1F97">
        <w:t xml:space="preserve">the oldest debt is 1995 </w:t>
      </w:r>
      <w:r w:rsidR="00230D9C" w:rsidRPr="007E1F97">
        <w:t>(at Enforcement Agent stage)</w:t>
      </w:r>
      <w:r w:rsidR="007E1F97">
        <w:t xml:space="preserve"> and the highest debt outstanding is £17k</w:t>
      </w:r>
      <w:r w:rsidR="003949BF">
        <w:t xml:space="preserve">. We have a number of high value cases </w:t>
      </w:r>
      <w:r w:rsidR="000B4FA0">
        <w:t>where we are working with the Legal Team to progress further</w:t>
      </w:r>
      <w:r w:rsidR="003949BF">
        <w:t xml:space="preserve"> action</w:t>
      </w:r>
      <w:r w:rsidR="000B4FA0">
        <w:t>.</w:t>
      </w:r>
    </w:p>
    <w:p w:rsidR="007E1F97" w:rsidRDefault="00230D9C" w:rsidP="006D5324">
      <w:pPr>
        <w:pStyle w:val="ListParagraph"/>
        <w:numPr>
          <w:ilvl w:val="0"/>
          <w:numId w:val="43"/>
        </w:numPr>
      </w:pPr>
      <w:r w:rsidRPr="003949BF">
        <w:t xml:space="preserve">For Business Rates </w:t>
      </w:r>
      <w:r w:rsidR="007E1F97" w:rsidRPr="003949BF">
        <w:t>the oldest debt is 1996 (payment arrangement) and the highest debt outstanding is £74k</w:t>
      </w:r>
      <w:r w:rsidR="003949BF" w:rsidRPr="003949BF">
        <w:t>. An example of why these debts could be high is where the Valuation Office Agency has delayed rating a property, resulting in a large backdated bill</w:t>
      </w:r>
    </w:p>
    <w:p w:rsidR="005F5514" w:rsidRPr="00E55AE3" w:rsidRDefault="006D5324" w:rsidP="006D5324">
      <w:pPr>
        <w:pStyle w:val="ListParagraph"/>
        <w:numPr>
          <w:ilvl w:val="0"/>
          <w:numId w:val="43"/>
        </w:numPr>
      </w:pPr>
      <w:r>
        <w:t>For Housing Benefit O</w:t>
      </w:r>
      <w:r w:rsidR="005F5514" w:rsidRPr="003949BF">
        <w:t xml:space="preserve">verpayments </w:t>
      </w:r>
      <w:r w:rsidR="00230D9C" w:rsidRPr="003949BF">
        <w:t>th</w:t>
      </w:r>
      <w:r w:rsidR="005F5514" w:rsidRPr="003949BF">
        <w:t xml:space="preserve">ere </w:t>
      </w:r>
      <w:r w:rsidR="005F5514" w:rsidRPr="006D5324">
        <w:rPr>
          <w:sz w:val="22"/>
          <w:szCs w:val="22"/>
        </w:rPr>
        <w:t>are a handful of cases dating back between 2005/2008</w:t>
      </w:r>
      <w:r w:rsidR="00EE1AAD">
        <w:rPr>
          <w:sz w:val="22"/>
          <w:szCs w:val="22"/>
        </w:rPr>
        <w:t xml:space="preserve">. From </w:t>
      </w:r>
      <w:r w:rsidR="005F5514" w:rsidRPr="006D5324">
        <w:rPr>
          <w:sz w:val="22"/>
          <w:szCs w:val="22"/>
        </w:rPr>
        <w:t>2009/2010</w:t>
      </w:r>
      <w:r w:rsidR="009A6DAB">
        <w:rPr>
          <w:sz w:val="22"/>
          <w:szCs w:val="22"/>
        </w:rPr>
        <w:t xml:space="preserve"> (</w:t>
      </w:r>
      <w:r w:rsidR="00EE1AAD">
        <w:rPr>
          <w:sz w:val="22"/>
          <w:szCs w:val="22"/>
        </w:rPr>
        <w:t>the time of the last major economic downturn)</w:t>
      </w:r>
      <w:r w:rsidR="005F5514" w:rsidRPr="006D5324">
        <w:rPr>
          <w:sz w:val="22"/>
          <w:szCs w:val="22"/>
        </w:rPr>
        <w:t xml:space="preserve"> the numbers significantly increase. The largest debt is a fraud case of £53k</w:t>
      </w:r>
      <w:r w:rsidR="00706370" w:rsidRPr="006D5324">
        <w:rPr>
          <w:sz w:val="22"/>
          <w:szCs w:val="22"/>
        </w:rPr>
        <w:t xml:space="preserve">. </w:t>
      </w:r>
      <w:r w:rsidR="0020140D" w:rsidRPr="006D5324">
        <w:rPr>
          <w:sz w:val="22"/>
          <w:szCs w:val="22"/>
        </w:rPr>
        <w:t xml:space="preserve">As an example of how these </w:t>
      </w:r>
      <w:r w:rsidR="003949BF" w:rsidRPr="006D5324">
        <w:rPr>
          <w:sz w:val="22"/>
          <w:szCs w:val="22"/>
        </w:rPr>
        <w:t xml:space="preserve">can be large debts, </w:t>
      </w:r>
      <w:r w:rsidR="00706370" w:rsidRPr="006D5324">
        <w:rPr>
          <w:sz w:val="22"/>
          <w:szCs w:val="22"/>
        </w:rPr>
        <w:t xml:space="preserve"> the DWP are </w:t>
      </w:r>
      <w:r w:rsidR="0020140D" w:rsidRPr="006D5324">
        <w:rPr>
          <w:sz w:val="22"/>
          <w:szCs w:val="22"/>
        </w:rPr>
        <w:t xml:space="preserve">currently </w:t>
      </w:r>
      <w:r w:rsidR="00706370" w:rsidRPr="006D5324">
        <w:rPr>
          <w:sz w:val="22"/>
          <w:szCs w:val="22"/>
        </w:rPr>
        <w:t>prioritising self-employed and employed claims and we are reviewing these claims and raising large debts due to the f</w:t>
      </w:r>
      <w:r w:rsidR="0020140D" w:rsidRPr="006D5324">
        <w:rPr>
          <w:sz w:val="22"/>
          <w:szCs w:val="22"/>
        </w:rPr>
        <w:t xml:space="preserve">ailure </w:t>
      </w:r>
      <w:r w:rsidR="00706370" w:rsidRPr="006D5324">
        <w:rPr>
          <w:sz w:val="22"/>
          <w:szCs w:val="22"/>
        </w:rPr>
        <w:t>to notify changes in income</w:t>
      </w:r>
      <w:r w:rsidR="00E55AE3" w:rsidRPr="00552175">
        <w:rPr>
          <w:sz w:val="22"/>
          <w:szCs w:val="22"/>
        </w:rPr>
        <w:t>. We have been cleansing this data and now have more officers working on this debt type</w:t>
      </w:r>
      <w:r w:rsidR="00AB6158" w:rsidRPr="00552175">
        <w:rPr>
          <w:sz w:val="22"/>
          <w:szCs w:val="22"/>
        </w:rPr>
        <w:t>, hence the increase in write-offs</w:t>
      </w:r>
      <w:r w:rsidR="00E55AE3" w:rsidRPr="00552175">
        <w:rPr>
          <w:sz w:val="22"/>
          <w:szCs w:val="22"/>
        </w:rPr>
        <w:t>.</w:t>
      </w:r>
      <w:r w:rsidR="00EE1AAD">
        <w:rPr>
          <w:sz w:val="22"/>
          <w:szCs w:val="22"/>
        </w:rPr>
        <w:t xml:space="preserve"> </w:t>
      </w:r>
    </w:p>
    <w:p w:rsidR="00427DF4" w:rsidRPr="00E55AE3" w:rsidRDefault="00230D9C" w:rsidP="00E55AE3">
      <w:pPr>
        <w:pStyle w:val="ListParagraph"/>
        <w:numPr>
          <w:ilvl w:val="0"/>
          <w:numId w:val="43"/>
        </w:numPr>
      </w:pPr>
      <w:r w:rsidRPr="00E55AE3">
        <w:rPr>
          <w:color w:val="auto"/>
        </w:rPr>
        <w:t xml:space="preserve">For </w:t>
      </w:r>
      <w:r w:rsidR="00427DF4" w:rsidRPr="00E55AE3">
        <w:rPr>
          <w:color w:val="auto"/>
        </w:rPr>
        <w:t xml:space="preserve">Rents </w:t>
      </w:r>
      <w:r w:rsidR="00641FF4" w:rsidRPr="00E55AE3">
        <w:rPr>
          <w:color w:val="auto"/>
        </w:rPr>
        <w:t>the highest debt outstanding is £12k</w:t>
      </w:r>
      <w:r w:rsidR="00EE1AAD">
        <w:rPr>
          <w:color w:val="auto"/>
        </w:rPr>
        <w:t xml:space="preserve">, </w:t>
      </w:r>
      <w:r w:rsidR="003949BF" w:rsidRPr="00E55AE3">
        <w:rPr>
          <w:color w:val="auto"/>
        </w:rPr>
        <w:t>which is being repaid monthly</w:t>
      </w:r>
      <w:r w:rsidR="00EE1AAD">
        <w:rPr>
          <w:color w:val="auto"/>
        </w:rPr>
        <w:t>,</w:t>
      </w:r>
      <w:r w:rsidR="00342EB3" w:rsidRPr="00E55AE3">
        <w:rPr>
          <w:color w:val="auto"/>
        </w:rPr>
        <w:t xml:space="preserve"> and for Leaseholders the highest debt is £5k (</w:t>
      </w:r>
      <w:r w:rsidR="00EE1AAD">
        <w:rPr>
          <w:color w:val="auto"/>
        </w:rPr>
        <w:t>the l</w:t>
      </w:r>
      <w:r w:rsidR="00342EB3" w:rsidRPr="00E55AE3">
        <w:rPr>
          <w:color w:val="auto"/>
        </w:rPr>
        <w:t>easeholder is abroad</w:t>
      </w:r>
      <w:r w:rsidR="006D5324" w:rsidRPr="00E55AE3">
        <w:rPr>
          <w:color w:val="auto"/>
        </w:rPr>
        <w:t xml:space="preserve"> and </w:t>
      </w:r>
      <w:r w:rsidR="00EE1AAD">
        <w:rPr>
          <w:color w:val="auto"/>
        </w:rPr>
        <w:t xml:space="preserve">the case is </w:t>
      </w:r>
      <w:r w:rsidR="006D5324" w:rsidRPr="00E55AE3">
        <w:rPr>
          <w:color w:val="auto"/>
        </w:rPr>
        <w:t>with Legal</w:t>
      </w:r>
      <w:r w:rsidR="00342EB3" w:rsidRPr="00E55AE3">
        <w:rPr>
          <w:color w:val="auto"/>
        </w:rPr>
        <w:t xml:space="preserve">). </w:t>
      </w:r>
      <w:r w:rsidR="00C224DB" w:rsidRPr="00E55AE3">
        <w:rPr>
          <w:color w:val="auto"/>
        </w:rPr>
        <w:t>It is difficult to ascertain the date of the oldest debt because an account can fall in and out of debt at various times in the lifetime of a tenancy</w:t>
      </w:r>
      <w:r w:rsidR="00342EB3" w:rsidRPr="00E55AE3">
        <w:rPr>
          <w:color w:val="auto"/>
        </w:rPr>
        <w:t>/leasehold</w:t>
      </w:r>
    </w:p>
    <w:p w:rsidR="00E55AE3" w:rsidRPr="00E55AE3" w:rsidRDefault="00427DF4" w:rsidP="00E55AE3">
      <w:pPr>
        <w:pStyle w:val="ListParagraph"/>
        <w:numPr>
          <w:ilvl w:val="0"/>
          <w:numId w:val="43"/>
        </w:numPr>
      </w:pPr>
      <w:r w:rsidRPr="00E55AE3">
        <w:rPr>
          <w:color w:val="auto"/>
        </w:rPr>
        <w:t xml:space="preserve">For </w:t>
      </w:r>
      <w:r w:rsidR="00230D9C" w:rsidRPr="00E55AE3">
        <w:rPr>
          <w:color w:val="auto"/>
        </w:rPr>
        <w:t>Miscellaneous debts</w:t>
      </w:r>
      <w:r w:rsidR="00641FF4" w:rsidRPr="00E55AE3">
        <w:rPr>
          <w:color w:val="auto"/>
        </w:rPr>
        <w:t xml:space="preserve"> these will normally be quite small</w:t>
      </w:r>
      <w:r w:rsidR="00EE1AAD">
        <w:rPr>
          <w:color w:val="auto"/>
        </w:rPr>
        <w:t>.</w:t>
      </w:r>
      <w:r w:rsidR="00641FF4" w:rsidRPr="00E55AE3">
        <w:rPr>
          <w:color w:val="auto"/>
        </w:rPr>
        <w:t xml:space="preserve"> </w:t>
      </w:r>
      <w:r w:rsidR="00EE1AAD">
        <w:rPr>
          <w:color w:val="auto"/>
        </w:rPr>
        <w:t>F</w:t>
      </w:r>
      <w:r w:rsidR="00641FF4" w:rsidRPr="00E55AE3">
        <w:rPr>
          <w:color w:val="auto"/>
        </w:rPr>
        <w:t>o</w:t>
      </w:r>
      <w:r w:rsidR="00C224DB" w:rsidRPr="00E55AE3">
        <w:rPr>
          <w:color w:val="auto"/>
        </w:rPr>
        <w:t>r c</w:t>
      </w:r>
      <w:r w:rsidR="00641FF4" w:rsidRPr="00E55AE3">
        <w:rPr>
          <w:color w:val="auto"/>
        </w:rPr>
        <w:t>ommercial</w:t>
      </w:r>
      <w:r w:rsidR="00C224DB" w:rsidRPr="00E55AE3">
        <w:rPr>
          <w:color w:val="auto"/>
        </w:rPr>
        <w:t xml:space="preserve"> property the oldest debt is 2015 and the highest debt is £54k, being paid on a monthly arrangement</w:t>
      </w:r>
    </w:p>
    <w:p w:rsidR="00652243" w:rsidRPr="009A6DAB" w:rsidRDefault="00641FF4" w:rsidP="009A6DAB">
      <w:pPr>
        <w:pStyle w:val="ListParagraph"/>
        <w:numPr>
          <w:ilvl w:val="0"/>
          <w:numId w:val="43"/>
        </w:numPr>
        <w:rPr>
          <w:color w:val="auto"/>
        </w:rPr>
      </w:pPr>
      <w:r w:rsidRPr="00E55AE3">
        <w:rPr>
          <w:color w:val="auto"/>
        </w:rPr>
        <w:t xml:space="preserve"> </w:t>
      </w:r>
      <w:r w:rsidR="00230D9C" w:rsidRPr="00E55AE3">
        <w:rPr>
          <w:color w:val="auto"/>
        </w:rPr>
        <w:t>For Excess charge notices</w:t>
      </w:r>
      <w:r w:rsidR="00EE1AAD">
        <w:rPr>
          <w:color w:val="auto"/>
        </w:rPr>
        <w:t>,</w:t>
      </w:r>
      <w:r w:rsidR="007E1F97" w:rsidRPr="00E55AE3">
        <w:rPr>
          <w:color w:val="auto"/>
        </w:rPr>
        <w:t xml:space="preserve"> </w:t>
      </w:r>
      <w:r w:rsidR="00427DF4" w:rsidRPr="00E55AE3">
        <w:rPr>
          <w:color w:val="auto"/>
        </w:rPr>
        <w:t xml:space="preserve">the cycle of the debt is </w:t>
      </w:r>
      <w:r w:rsidR="00A62713" w:rsidRPr="00E55AE3">
        <w:rPr>
          <w:color w:val="auto"/>
        </w:rPr>
        <w:t xml:space="preserve">around </w:t>
      </w:r>
      <w:r w:rsidR="00427DF4" w:rsidRPr="00E55AE3">
        <w:rPr>
          <w:color w:val="auto"/>
        </w:rPr>
        <w:t xml:space="preserve">6 months and £100 is the maximum amount for each case. </w:t>
      </w:r>
    </w:p>
    <w:p w:rsidR="009A39AC" w:rsidRPr="00786404" w:rsidRDefault="009A39AC" w:rsidP="00DC022D">
      <w:pPr>
        <w:numPr>
          <w:ilvl w:val="0"/>
          <w:numId w:val="44"/>
        </w:numPr>
        <w:autoSpaceDE w:val="0"/>
        <w:autoSpaceDN w:val="0"/>
        <w:adjustRightInd w:val="0"/>
        <w:spacing w:after="0"/>
        <w:jc w:val="both"/>
        <w:rPr>
          <w:color w:val="auto"/>
        </w:rPr>
      </w:pPr>
      <w:r w:rsidRPr="00780478">
        <w:rPr>
          <w:rFonts w:cs="Arial"/>
        </w:rPr>
        <w:t>Reduc</w:t>
      </w:r>
      <w:r w:rsidR="009D04D6">
        <w:rPr>
          <w:rFonts w:cs="Arial"/>
        </w:rPr>
        <w:t>tions in the</w:t>
      </w:r>
      <w:r w:rsidRPr="00780478">
        <w:rPr>
          <w:rFonts w:cs="Arial"/>
        </w:rPr>
        <w:t xml:space="preserve"> Government grant and </w:t>
      </w:r>
      <w:r w:rsidR="009D04D6">
        <w:rPr>
          <w:rFonts w:cs="Arial"/>
        </w:rPr>
        <w:t>the Council’s</w:t>
      </w:r>
      <w:r w:rsidR="009D04D6" w:rsidRPr="00780478">
        <w:rPr>
          <w:rFonts w:cs="Arial"/>
        </w:rPr>
        <w:t xml:space="preserve"> </w:t>
      </w:r>
      <w:r w:rsidRPr="00780478">
        <w:rPr>
          <w:rFonts w:cs="Arial"/>
        </w:rPr>
        <w:t xml:space="preserve">increased dependence on income from business rates and trading, along with pressures on tenants and </w:t>
      </w:r>
      <w:r w:rsidR="009D04D6">
        <w:rPr>
          <w:rFonts w:cs="Arial"/>
        </w:rPr>
        <w:t>c</w:t>
      </w:r>
      <w:r w:rsidRPr="00780478">
        <w:rPr>
          <w:rFonts w:cs="Arial"/>
        </w:rPr>
        <w:t xml:space="preserve">ouncil </w:t>
      </w:r>
      <w:r w:rsidR="009D04D6">
        <w:rPr>
          <w:rFonts w:cs="Arial"/>
        </w:rPr>
        <w:t>t</w:t>
      </w:r>
      <w:r w:rsidRPr="00780478">
        <w:rPr>
          <w:rFonts w:cs="Arial"/>
        </w:rPr>
        <w:t>ax payers</w:t>
      </w:r>
      <w:r w:rsidR="009D04D6">
        <w:rPr>
          <w:rFonts w:cs="Arial"/>
        </w:rPr>
        <w:t>’</w:t>
      </w:r>
      <w:r w:rsidRPr="00780478">
        <w:rPr>
          <w:rFonts w:cs="Arial"/>
        </w:rPr>
        <w:t xml:space="preserve"> incomes due to the economic downturn and welfare</w:t>
      </w:r>
      <w:r w:rsidR="007577A7">
        <w:rPr>
          <w:rFonts w:cs="Arial"/>
        </w:rPr>
        <w:t xml:space="preserve"> reforms</w:t>
      </w:r>
      <w:r w:rsidRPr="00780478">
        <w:rPr>
          <w:rFonts w:cs="Arial"/>
        </w:rPr>
        <w:t xml:space="preserve"> mean</w:t>
      </w:r>
      <w:r w:rsidR="005B49AE">
        <w:rPr>
          <w:rFonts w:cs="Arial"/>
        </w:rPr>
        <w:t xml:space="preserve"> that</w:t>
      </w:r>
      <w:r w:rsidRPr="00780478">
        <w:rPr>
          <w:rFonts w:cs="Arial"/>
        </w:rPr>
        <w:t xml:space="preserve"> effective debt collection is more important than ever.</w:t>
      </w:r>
    </w:p>
    <w:p w:rsidR="00786404" w:rsidRPr="00786404" w:rsidRDefault="00786404" w:rsidP="00786404">
      <w:pPr>
        <w:autoSpaceDE w:val="0"/>
        <w:autoSpaceDN w:val="0"/>
        <w:adjustRightInd w:val="0"/>
        <w:spacing w:after="0"/>
        <w:ind w:left="540"/>
        <w:jc w:val="both"/>
        <w:rPr>
          <w:color w:val="auto"/>
        </w:rPr>
      </w:pPr>
    </w:p>
    <w:p w:rsidR="00786404" w:rsidRPr="009A6DAB" w:rsidRDefault="00786404" w:rsidP="00DC022D">
      <w:pPr>
        <w:numPr>
          <w:ilvl w:val="0"/>
          <w:numId w:val="44"/>
        </w:numPr>
        <w:autoSpaceDE w:val="0"/>
        <w:autoSpaceDN w:val="0"/>
        <w:adjustRightInd w:val="0"/>
        <w:spacing w:after="0"/>
        <w:jc w:val="both"/>
        <w:rPr>
          <w:color w:val="auto"/>
        </w:rPr>
      </w:pPr>
      <w:r w:rsidRPr="009A6DAB">
        <w:rPr>
          <w:rFonts w:cs="Arial"/>
        </w:rPr>
        <w:t>The Council uses two Enforcement Agent (EA) companies to recover debts. The current contract</w:t>
      </w:r>
      <w:r w:rsidR="009A6DAB">
        <w:rPr>
          <w:rFonts w:cs="Arial"/>
        </w:rPr>
        <w:t>s</w:t>
      </w:r>
      <w:r w:rsidRPr="009A6DAB">
        <w:rPr>
          <w:rFonts w:cs="Arial"/>
        </w:rPr>
        <w:t xml:space="preserve"> ha</w:t>
      </w:r>
      <w:r w:rsidR="009A6DAB">
        <w:rPr>
          <w:rFonts w:cs="Arial"/>
        </w:rPr>
        <w:t>ve</w:t>
      </w:r>
      <w:r w:rsidRPr="009A6DAB">
        <w:rPr>
          <w:rFonts w:cs="Arial"/>
        </w:rPr>
        <w:t xml:space="preserve"> been in place since 2016</w:t>
      </w:r>
      <w:r w:rsidR="009A6DAB" w:rsidRPr="009A6DAB">
        <w:rPr>
          <w:rFonts w:cs="Arial"/>
        </w:rPr>
        <w:t xml:space="preserve"> for a term of 4 years</w:t>
      </w:r>
      <w:r w:rsidRPr="009A6DAB">
        <w:rPr>
          <w:rFonts w:cs="Arial"/>
        </w:rPr>
        <w:t>.</w:t>
      </w:r>
      <w:r w:rsidRPr="009A6DAB">
        <w:rPr>
          <w:rFonts w:ascii="Calibri" w:hAnsi="Calibri"/>
          <w:color w:val="1F497D"/>
          <w:sz w:val="22"/>
          <w:szCs w:val="22"/>
        </w:rPr>
        <w:t xml:space="preserve"> </w:t>
      </w:r>
      <w:r w:rsidRPr="009A6DAB">
        <w:rPr>
          <w:rFonts w:cs="Arial"/>
          <w:color w:val="auto"/>
        </w:rPr>
        <w:t>To date this year we have received 4 complaints regarding the use of the Enforcement Agents, 3 relating to Council Tax debts were unfounded, and 1 relating to a Business Rates debt was partly founded.</w:t>
      </w:r>
    </w:p>
    <w:p w:rsidR="00786404" w:rsidRPr="00202237" w:rsidRDefault="00786404" w:rsidP="00786404">
      <w:pPr>
        <w:pStyle w:val="ListParagraph"/>
        <w:numPr>
          <w:ilvl w:val="0"/>
          <w:numId w:val="0"/>
        </w:numPr>
        <w:ind w:left="426"/>
        <w:rPr>
          <w:color w:val="auto"/>
        </w:rPr>
      </w:pPr>
    </w:p>
    <w:p w:rsidR="00812371" w:rsidRDefault="00786404" w:rsidP="00812371">
      <w:pPr>
        <w:numPr>
          <w:ilvl w:val="0"/>
          <w:numId w:val="44"/>
        </w:numPr>
        <w:autoSpaceDE w:val="0"/>
        <w:autoSpaceDN w:val="0"/>
        <w:adjustRightInd w:val="0"/>
        <w:spacing w:after="0"/>
        <w:jc w:val="both"/>
        <w:rPr>
          <w:color w:val="auto"/>
        </w:rPr>
      </w:pPr>
      <w:r w:rsidRPr="00202237">
        <w:rPr>
          <w:color w:val="auto"/>
        </w:rPr>
        <w:t>The Revenues Service holds regular quarterly liaison meetings with both companies.</w:t>
      </w:r>
      <w:r w:rsidR="00EE1AAD" w:rsidRPr="00202237">
        <w:rPr>
          <w:color w:val="auto"/>
        </w:rPr>
        <w:t xml:space="preserve"> </w:t>
      </w:r>
      <w:r w:rsidR="009A6DAB" w:rsidRPr="00202237">
        <w:rPr>
          <w:color w:val="auto"/>
        </w:rPr>
        <w:t>Senior Revenues Team officers</w:t>
      </w:r>
      <w:r w:rsidR="00EE1AAD" w:rsidRPr="00202237">
        <w:rPr>
          <w:color w:val="auto"/>
        </w:rPr>
        <w:t xml:space="preserve"> review their performance closely including cases where there are any allegations of inappropriate action.  Thankfully, com</w:t>
      </w:r>
      <w:r w:rsidR="00202237" w:rsidRPr="00202237">
        <w:rPr>
          <w:color w:val="auto"/>
        </w:rPr>
        <w:t>p</w:t>
      </w:r>
      <w:r w:rsidR="00EE1AAD" w:rsidRPr="00202237">
        <w:rPr>
          <w:color w:val="auto"/>
        </w:rPr>
        <w:t xml:space="preserve">laints are </w:t>
      </w:r>
      <w:r w:rsidR="00812371">
        <w:rPr>
          <w:color w:val="auto"/>
        </w:rPr>
        <w:t xml:space="preserve">rare </w:t>
      </w:r>
      <w:r w:rsidR="00EE1AAD" w:rsidRPr="00202237">
        <w:rPr>
          <w:color w:val="auto"/>
        </w:rPr>
        <w:t>and even fewer are upheld</w:t>
      </w:r>
      <w:r w:rsidR="00812371">
        <w:rPr>
          <w:color w:val="auto"/>
        </w:rPr>
        <w:t>.</w:t>
      </w:r>
    </w:p>
    <w:p w:rsidR="00812371" w:rsidRPr="00812371" w:rsidRDefault="00812371" w:rsidP="00812371">
      <w:pPr>
        <w:ind w:left="426" w:hanging="426"/>
        <w:rPr>
          <w:color w:val="auto"/>
        </w:rPr>
      </w:pPr>
    </w:p>
    <w:p w:rsidR="00812371" w:rsidRPr="00812371" w:rsidRDefault="00786404" w:rsidP="009A39AC">
      <w:pPr>
        <w:numPr>
          <w:ilvl w:val="0"/>
          <w:numId w:val="44"/>
        </w:numPr>
        <w:autoSpaceDE w:val="0"/>
        <w:autoSpaceDN w:val="0"/>
        <w:adjustRightInd w:val="0"/>
        <w:spacing w:after="0"/>
        <w:jc w:val="both"/>
        <w:rPr>
          <w:color w:val="auto"/>
        </w:rPr>
      </w:pPr>
      <w:r w:rsidRPr="00812371">
        <w:rPr>
          <w:color w:val="auto"/>
        </w:rPr>
        <w:t xml:space="preserve">The EA’s have </w:t>
      </w:r>
      <w:r w:rsidR="00D655B5" w:rsidRPr="00812371">
        <w:rPr>
          <w:color w:val="auto"/>
        </w:rPr>
        <w:t>spoken to our Contact C</w:t>
      </w:r>
      <w:r w:rsidRPr="00812371">
        <w:rPr>
          <w:color w:val="auto"/>
        </w:rPr>
        <w:t>entre staff to give them an understanding of their role. They ha</w:t>
      </w:r>
      <w:r w:rsidR="00D655B5" w:rsidRPr="00812371">
        <w:rPr>
          <w:color w:val="auto"/>
        </w:rPr>
        <w:t>ve also undertaken training for</w:t>
      </w:r>
      <w:r w:rsidRPr="00812371">
        <w:rPr>
          <w:color w:val="auto"/>
        </w:rPr>
        <w:t xml:space="preserve"> our </w:t>
      </w:r>
      <w:r w:rsidR="00D655B5" w:rsidRPr="00812371">
        <w:rPr>
          <w:color w:val="auto"/>
        </w:rPr>
        <w:t>recovery officers</w:t>
      </w:r>
      <w:r w:rsidRPr="00812371">
        <w:rPr>
          <w:color w:val="auto"/>
        </w:rPr>
        <w:t xml:space="preserve"> around regulation changes, </w:t>
      </w:r>
      <w:r w:rsidR="00D655B5" w:rsidRPr="00812371">
        <w:rPr>
          <w:color w:val="auto"/>
        </w:rPr>
        <w:t xml:space="preserve">and </w:t>
      </w:r>
      <w:r w:rsidRPr="00812371">
        <w:rPr>
          <w:color w:val="auto"/>
        </w:rPr>
        <w:t xml:space="preserve">what </w:t>
      </w:r>
      <w:r w:rsidR="00202237" w:rsidRPr="00812371">
        <w:rPr>
          <w:color w:val="auto"/>
        </w:rPr>
        <w:t xml:space="preserve">an Enforcement Agent </w:t>
      </w:r>
      <w:r w:rsidRPr="00812371">
        <w:rPr>
          <w:color w:val="auto"/>
        </w:rPr>
        <w:t>can and can’t do. The</w:t>
      </w:r>
      <w:r w:rsidR="00EE1AAD" w:rsidRPr="00812371">
        <w:rPr>
          <w:color w:val="auto"/>
        </w:rPr>
        <w:t xml:space="preserve"> </w:t>
      </w:r>
      <w:r w:rsidR="00AD2D8E" w:rsidRPr="00812371">
        <w:rPr>
          <w:color w:val="auto"/>
        </w:rPr>
        <w:t>EA’s both</w:t>
      </w:r>
      <w:r w:rsidR="00D655B5" w:rsidRPr="00812371">
        <w:rPr>
          <w:color w:val="auto"/>
        </w:rPr>
        <w:t xml:space="preserve"> </w:t>
      </w:r>
      <w:r w:rsidRPr="00812371">
        <w:rPr>
          <w:color w:val="auto"/>
        </w:rPr>
        <w:t xml:space="preserve">have their own Welfare Teams and customers identified as being vulnerable are dealt with </w:t>
      </w:r>
      <w:r w:rsidR="00EE1AAD" w:rsidRPr="00812371">
        <w:rPr>
          <w:color w:val="auto"/>
        </w:rPr>
        <w:t xml:space="preserve">sensitively </w:t>
      </w:r>
      <w:r w:rsidRPr="00812371">
        <w:rPr>
          <w:color w:val="auto"/>
        </w:rPr>
        <w:t xml:space="preserve">by this team. </w:t>
      </w:r>
    </w:p>
    <w:p w:rsidR="00B952EA" w:rsidRDefault="00B952EA" w:rsidP="009A39AC">
      <w:pPr>
        <w:tabs>
          <w:tab w:val="left" w:pos="360"/>
          <w:tab w:val="left" w:pos="1985"/>
        </w:tabs>
        <w:spacing w:after="0"/>
        <w:jc w:val="both"/>
        <w:rPr>
          <w:b/>
          <w:color w:val="auto"/>
        </w:rPr>
      </w:pPr>
    </w:p>
    <w:p w:rsidR="009A39AC" w:rsidRPr="004304D2" w:rsidRDefault="005B49AE" w:rsidP="009A39AC">
      <w:pPr>
        <w:tabs>
          <w:tab w:val="left" w:pos="360"/>
          <w:tab w:val="left" w:pos="1985"/>
        </w:tabs>
        <w:spacing w:after="0"/>
        <w:jc w:val="both"/>
        <w:rPr>
          <w:b/>
          <w:color w:val="auto"/>
        </w:rPr>
      </w:pPr>
      <w:r>
        <w:rPr>
          <w:b/>
          <w:color w:val="auto"/>
        </w:rPr>
        <w:lastRenderedPageBreak/>
        <w:t>Debt Management Policy</w:t>
      </w:r>
    </w:p>
    <w:p w:rsidR="009A39AC" w:rsidRPr="004304D2" w:rsidRDefault="009A39AC" w:rsidP="009A39AC">
      <w:pPr>
        <w:tabs>
          <w:tab w:val="left" w:pos="360"/>
          <w:tab w:val="left" w:pos="1985"/>
        </w:tabs>
        <w:spacing w:after="0"/>
        <w:jc w:val="both"/>
        <w:rPr>
          <w:b/>
          <w:color w:val="auto"/>
        </w:rPr>
      </w:pPr>
    </w:p>
    <w:p w:rsidR="009A39AC" w:rsidRPr="004304D2" w:rsidRDefault="009F5F07" w:rsidP="00DC022D">
      <w:pPr>
        <w:numPr>
          <w:ilvl w:val="0"/>
          <w:numId w:val="44"/>
        </w:numPr>
        <w:tabs>
          <w:tab w:val="left" w:pos="709"/>
          <w:tab w:val="left" w:pos="1985"/>
        </w:tabs>
        <w:spacing w:after="0"/>
        <w:jc w:val="both"/>
        <w:rPr>
          <w:color w:val="auto"/>
        </w:rPr>
      </w:pPr>
      <w:r>
        <w:rPr>
          <w:color w:val="auto"/>
        </w:rPr>
        <w:t>A</w:t>
      </w:r>
      <w:r w:rsidR="009A39AC" w:rsidRPr="004304D2">
        <w:rPr>
          <w:color w:val="auto"/>
        </w:rPr>
        <w:t xml:space="preserve"> </w:t>
      </w:r>
      <w:r w:rsidR="005B49AE">
        <w:rPr>
          <w:color w:val="auto"/>
        </w:rPr>
        <w:t>d</w:t>
      </w:r>
      <w:r w:rsidR="009A39AC" w:rsidRPr="004304D2">
        <w:rPr>
          <w:color w:val="auto"/>
        </w:rPr>
        <w:t xml:space="preserve">ebt </w:t>
      </w:r>
      <w:r w:rsidR="005B49AE">
        <w:rPr>
          <w:color w:val="auto"/>
        </w:rPr>
        <w:t>m</w:t>
      </w:r>
      <w:r w:rsidR="009A39AC" w:rsidRPr="004304D2">
        <w:rPr>
          <w:color w:val="auto"/>
        </w:rPr>
        <w:t xml:space="preserve">anagement </w:t>
      </w:r>
      <w:r w:rsidR="005B49AE">
        <w:rPr>
          <w:color w:val="auto"/>
        </w:rPr>
        <w:t>p</w:t>
      </w:r>
      <w:r w:rsidR="009A39AC" w:rsidRPr="004304D2">
        <w:rPr>
          <w:color w:val="auto"/>
        </w:rPr>
        <w:t>olicy should</w:t>
      </w:r>
    </w:p>
    <w:p w:rsidR="009A39AC" w:rsidRPr="004304D2" w:rsidRDefault="009A39AC" w:rsidP="009A39AC">
      <w:pPr>
        <w:tabs>
          <w:tab w:val="left" w:pos="709"/>
          <w:tab w:val="left" w:pos="1985"/>
        </w:tabs>
        <w:spacing w:after="0"/>
        <w:ind w:left="709" w:hanging="567"/>
        <w:jc w:val="both"/>
        <w:rPr>
          <w:b/>
          <w:color w:val="auto"/>
        </w:rPr>
      </w:pPr>
    </w:p>
    <w:p w:rsidR="009A39AC" w:rsidRPr="004304D2" w:rsidRDefault="009A39AC" w:rsidP="009A39AC">
      <w:pPr>
        <w:numPr>
          <w:ilvl w:val="0"/>
          <w:numId w:val="37"/>
        </w:numPr>
        <w:tabs>
          <w:tab w:val="left" w:pos="709"/>
          <w:tab w:val="left" w:pos="1134"/>
        </w:tabs>
        <w:spacing w:after="0"/>
        <w:jc w:val="both"/>
        <w:rPr>
          <w:b/>
          <w:color w:val="auto"/>
        </w:rPr>
      </w:pPr>
      <w:r w:rsidRPr="004304D2">
        <w:rPr>
          <w:color w:val="auto"/>
        </w:rPr>
        <w:t>Set out policies and procedures that the Council will adhere to in the collection of debt</w:t>
      </w:r>
    </w:p>
    <w:p w:rsidR="009A39AC" w:rsidRPr="004304D2" w:rsidRDefault="009A39AC" w:rsidP="009A39AC">
      <w:pPr>
        <w:numPr>
          <w:ilvl w:val="0"/>
          <w:numId w:val="37"/>
        </w:numPr>
        <w:tabs>
          <w:tab w:val="left" w:pos="709"/>
          <w:tab w:val="left" w:pos="1134"/>
        </w:tabs>
        <w:spacing w:after="0"/>
        <w:jc w:val="both"/>
        <w:rPr>
          <w:b/>
          <w:color w:val="auto"/>
        </w:rPr>
      </w:pPr>
      <w:r w:rsidRPr="004304D2">
        <w:rPr>
          <w:color w:val="auto"/>
        </w:rPr>
        <w:t xml:space="preserve">Ensure that debt is collected cost effectively </w:t>
      </w:r>
    </w:p>
    <w:p w:rsidR="009A39AC" w:rsidRPr="009A6E64" w:rsidRDefault="009A39AC" w:rsidP="00CE52F0">
      <w:pPr>
        <w:numPr>
          <w:ilvl w:val="0"/>
          <w:numId w:val="37"/>
        </w:numPr>
        <w:tabs>
          <w:tab w:val="left" w:pos="709"/>
          <w:tab w:val="left" w:pos="1134"/>
        </w:tabs>
        <w:spacing w:after="0"/>
        <w:jc w:val="both"/>
        <w:rPr>
          <w:b/>
          <w:color w:val="auto"/>
        </w:rPr>
      </w:pPr>
      <w:r w:rsidRPr="004304D2">
        <w:rPr>
          <w:color w:val="auto"/>
        </w:rPr>
        <w:t>Have</w:t>
      </w:r>
      <w:r w:rsidR="007F2508">
        <w:rPr>
          <w:color w:val="auto"/>
        </w:rPr>
        <w:t xml:space="preserve"> a mechanism for</w:t>
      </w:r>
      <w:r w:rsidRPr="004304D2">
        <w:rPr>
          <w:color w:val="auto"/>
        </w:rPr>
        <w:t xml:space="preserve"> recognition of the </w:t>
      </w:r>
      <w:r w:rsidR="009F5F07">
        <w:rPr>
          <w:color w:val="auto"/>
        </w:rPr>
        <w:t xml:space="preserve">personal </w:t>
      </w:r>
      <w:r w:rsidRPr="004304D2">
        <w:rPr>
          <w:color w:val="auto"/>
        </w:rPr>
        <w:t xml:space="preserve">circumstances of </w:t>
      </w:r>
      <w:r w:rsidR="007F2508">
        <w:rPr>
          <w:color w:val="auto"/>
        </w:rPr>
        <w:t xml:space="preserve">individual </w:t>
      </w:r>
      <w:r w:rsidRPr="004304D2">
        <w:rPr>
          <w:color w:val="auto"/>
        </w:rPr>
        <w:t xml:space="preserve">debtors.  </w:t>
      </w:r>
    </w:p>
    <w:p w:rsidR="005B49AE" w:rsidRPr="00CE52F0" w:rsidRDefault="005B49AE" w:rsidP="009A6E64">
      <w:pPr>
        <w:tabs>
          <w:tab w:val="left" w:pos="709"/>
          <w:tab w:val="left" w:pos="1134"/>
        </w:tabs>
        <w:spacing w:after="0"/>
        <w:ind w:left="706"/>
        <w:jc w:val="both"/>
        <w:rPr>
          <w:b/>
          <w:color w:val="auto"/>
        </w:rPr>
      </w:pPr>
    </w:p>
    <w:p w:rsidR="00E51DB7" w:rsidRDefault="009A39AC" w:rsidP="00DC022D">
      <w:pPr>
        <w:numPr>
          <w:ilvl w:val="0"/>
          <w:numId w:val="44"/>
        </w:numPr>
        <w:spacing w:after="0"/>
        <w:rPr>
          <w:color w:val="auto"/>
        </w:rPr>
      </w:pPr>
      <w:r w:rsidRPr="004304D2">
        <w:rPr>
          <w:color w:val="auto"/>
        </w:rPr>
        <w:t xml:space="preserve">The revised Debt Management Policy </w:t>
      </w:r>
      <w:r w:rsidR="007F2508">
        <w:rPr>
          <w:color w:val="auto"/>
        </w:rPr>
        <w:t xml:space="preserve">(at Appendix 1) </w:t>
      </w:r>
      <w:r w:rsidRPr="004304D2">
        <w:rPr>
          <w:color w:val="auto"/>
        </w:rPr>
        <w:t xml:space="preserve">seeks to </w:t>
      </w:r>
      <w:r w:rsidR="00FF1185">
        <w:rPr>
          <w:color w:val="auto"/>
        </w:rPr>
        <w:t>adhere to</w:t>
      </w:r>
      <w:r w:rsidR="007F2508">
        <w:rPr>
          <w:color w:val="auto"/>
        </w:rPr>
        <w:t xml:space="preserve"> those principles.</w:t>
      </w:r>
      <w:r w:rsidRPr="004304D2">
        <w:rPr>
          <w:color w:val="auto"/>
        </w:rPr>
        <w:t xml:space="preserve"> Ther</w:t>
      </w:r>
      <w:r>
        <w:rPr>
          <w:color w:val="auto"/>
        </w:rPr>
        <w:t>e are no substantial changes fro</w:t>
      </w:r>
      <w:r w:rsidRPr="004304D2">
        <w:rPr>
          <w:color w:val="auto"/>
        </w:rPr>
        <w:t xml:space="preserve">m the policy approved by </w:t>
      </w:r>
      <w:r w:rsidR="00FF1185">
        <w:rPr>
          <w:color w:val="auto"/>
        </w:rPr>
        <w:t>the City Executive Board</w:t>
      </w:r>
      <w:r w:rsidR="00FF1185" w:rsidRPr="004304D2">
        <w:rPr>
          <w:color w:val="auto"/>
        </w:rPr>
        <w:t xml:space="preserve"> </w:t>
      </w:r>
      <w:r w:rsidRPr="004304D2">
        <w:rPr>
          <w:color w:val="auto"/>
        </w:rPr>
        <w:t>previously</w:t>
      </w:r>
      <w:r w:rsidR="00EE1AAD">
        <w:rPr>
          <w:color w:val="auto"/>
        </w:rPr>
        <w:t>, except in strengthening it in relations to dealing with vulnerable customers of council services. M</w:t>
      </w:r>
      <w:r w:rsidRPr="004304D2">
        <w:rPr>
          <w:color w:val="auto"/>
        </w:rPr>
        <w:t>embers should note th</w:t>
      </w:r>
      <w:r w:rsidR="00FF1185">
        <w:rPr>
          <w:color w:val="auto"/>
        </w:rPr>
        <w:t xml:space="preserve">at in future consideration will be given to </w:t>
      </w:r>
      <w:r w:rsidR="00E51DB7">
        <w:rPr>
          <w:color w:val="auto"/>
        </w:rPr>
        <w:t xml:space="preserve">writing off debt </w:t>
      </w:r>
      <w:r w:rsidR="00FF1185">
        <w:rPr>
          <w:color w:val="auto"/>
        </w:rPr>
        <w:t xml:space="preserve">in cases </w:t>
      </w:r>
      <w:r w:rsidR="00BC5722">
        <w:rPr>
          <w:color w:val="auto"/>
        </w:rPr>
        <w:t>of vulnerability</w:t>
      </w:r>
      <w:r w:rsidR="00E51DB7">
        <w:rPr>
          <w:color w:val="auto"/>
        </w:rPr>
        <w:t xml:space="preserve"> </w:t>
      </w:r>
      <w:r w:rsidR="002E74FF">
        <w:rPr>
          <w:color w:val="auto"/>
        </w:rPr>
        <w:t>and</w:t>
      </w:r>
      <w:r w:rsidR="00FF1185">
        <w:rPr>
          <w:color w:val="auto"/>
        </w:rPr>
        <w:t>/or</w:t>
      </w:r>
      <w:r w:rsidR="002E74FF">
        <w:rPr>
          <w:color w:val="auto"/>
        </w:rPr>
        <w:t xml:space="preserve"> illness </w:t>
      </w:r>
      <w:r w:rsidR="00453CE7">
        <w:rPr>
          <w:color w:val="auto"/>
        </w:rPr>
        <w:t>as in</w:t>
      </w:r>
      <w:r w:rsidR="002E74FF">
        <w:rPr>
          <w:color w:val="auto"/>
        </w:rPr>
        <w:t xml:space="preserve"> section </w:t>
      </w:r>
      <w:r w:rsidR="00E51DB7">
        <w:rPr>
          <w:color w:val="auto"/>
        </w:rPr>
        <w:t xml:space="preserve">13 of the </w:t>
      </w:r>
      <w:r w:rsidR="00453CE7">
        <w:rPr>
          <w:color w:val="auto"/>
        </w:rPr>
        <w:t xml:space="preserve">revised </w:t>
      </w:r>
      <w:r w:rsidR="00E51DB7">
        <w:rPr>
          <w:color w:val="auto"/>
        </w:rPr>
        <w:t>policy.</w:t>
      </w:r>
    </w:p>
    <w:p w:rsidR="00D57EFE" w:rsidRDefault="00D57EFE" w:rsidP="00D57EFE">
      <w:pPr>
        <w:spacing w:after="0"/>
        <w:ind w:left="540"/>
        <w:rPr>
          <w:color w:val="auto"/>
        </w:rPr>
      </w:pPr>
    </w:p>
    <w:p w:rsidR="00D57EFE" w:rsidRPr="00E51DB7" w:rsidRDefault="00D57EFE" w:rsidP="00DC022D">
      <w:pPr>
        <w:numPr>
          <w:ilvl w:val="0"/>
          <w:numId w:val="44"/>
        </w:numPr>
        <w:spacing w:after="0"/>
        <w:rPr>
          <w:color w:val="auto"/>
        </w:rPr>
      </w:pPr>
      <w:r>
        <w:rPr>
          <w:color w:val="auto"/>
        </w:rPr>
        <w:t>This policy is intended for internal use</w:t>
      </w:r>
      <w:r w:rsidR="00D8279B">
        <w:rPr>
          <w:color w:val="auto"/>
        </w:rPr>
        <w:t>.</w:t>
      </w:r>
      <w:r>
        <w:rPr>
          <w:color w:val="auto"/>
        </w:rPr>
        <w:t xml:space="preserve"> </w:t>
      </w:r>
      <w:r w:rsidR="00453CE7">
        <w:rPr>
          <w:color w:val="auto"/>
        </w:rPr>
        <w:t>C</w:t>
      </w:r>
      <w:r>
        <w:rPr>
          <w:color w:val="auto"/>
        </w:rPr>
        <w:t xml:space="preserve">ustomers are able to refer to our debt recovery procedures for </w:t>
      </w:r>
      <w:r w:rsidR="00453CE7">
        <w:rPr>
          <w:color w:val="auto"/>
        </w:rPr>
        <w:t>different</w:t>
      </w:r>
      <w:r>
        <w:rPr>
          <w:color w:val="auto"/>
        </w:rPr>
        <w:t xml:space="preserve"> types</w:t>
      </w:r>
      <w:r w:rsidR="00453CE7">
        <w:rPr>
          <w:color w:val="auto"/>
        </w:rPr>
        <w:t xml:space="preserve"> of debt</w:t>
      </w:r>
      <w:r>
        <w:rPr>
          <w:color w:val="auto"/>
        </w:rPr>
        <w:t xml:space="preserve"> on our website. These are regularly reviewed and updated.</w:t>
      </w:r>
    </w:p>
    <w:p w:rsidR="009A39AC" w:rsidRPr="004304D2" w:rsidRDefault="009A39AC" w:rsidP="009A39AC">
      <w:pPr>
        <w:spacing w:after="0"/>
        <w:ind w:left="720" w:hanging="540"/>
        <w:rPr>
          <w:color w:val="auto"/>
        </w:rPr>
      </w:pPr>
    </w:p>
    <w:p w:rsidR="009A39AC" w:rsidRPr="004304D2" w:rsidRDefault="009A39AC" w:rsidP="007577A7">
      <w:pPr>
        <w:spacing w:after="0"/>
        <w:ind w:left="540"/>
        <w:rPr>
          <w:b/>
          <w:color w:val="auto"/>
        </w:rPr>
      </w:pPr>
      <w:r w:rsidRPr="004304D2">
        <w:rPr>
          <w:b/>
          <w:color w:val="auto"/>
        </w:rPr>
        <w:t>Financial Implications</w:t>
      </w:r>
    </w:p>
    <w:p w:rsidR="009A39AC" w:rsidRPr="004304D2" w:rsidRDefault="009A39AC" w:rsidP="009A39AC">
      <w:pPr>
        <w:spacing w:after="0"/>
        <w:rPr>
          <w:color w:val="auto"/>
        </w:rPr>
      </w:pPr>
    </w:p>
    <w:p w:rsidR="009A39AC" w:rsidRDefault="009A39AC" w:rsidP="00DC022D">
      <w:pPr>
        <w:numPr>
          <w:ilvl w:val="0"/>
          <w:numId w:val="44"/>
        </w:numPr>
        <w:spacing w:after="0"/>
        <w:rPr>
          <w:color w:val="auto"/>
        </w:rPr>
      </w:pPr>
      <w:r w:rsidRPr="004304D2">
        <w:rPr>
          <w:color w:val="auto"/>
        </w:rPr>
        <w:t xml:space="preserve">The </w:t>
      </w:r>
      <w:r w:rsidR="00FF1185">
        <w:rPr>
          <w:color w:val="auto"/>
        </w:rPr>
        <w:t>draft c</w:t>
      </w:r>
      <w:r w:rsidRPr="004304D2">
        <w:rPr>
          <w:color w:val="auto"/>
        </w:rPr>
        <w:t xml:space="preserve">orporate Debt Management </w:t>
      </w:r>
      <w:r w:rsidR="00FF1185">
        <w:rPr>
          <w:color w:val="auto"/>
        </w:rPr>
        <w:t>P</w:t>
      </w:r>
      <w:r w:rsidRPr="004304D2">
        <w:rPr>
          <w:color w:val="auto"/>
        </w:rPr>
        <w:t xml:space="preserve">olicy </w:t>
      </w:r>
      <w:r w:rsidR="00FF1185">
        <w:rPr>
          <w:color w:val="auto"/>
        </w:rPr>
        <w:t>has been</w:t>
      </w:r>
      <w:r w:rsidR="00FF1185" w:rsidRPr="004304D2">
        <w:rPr>
          <w:color w:val="auto"/>
        </w:rPr>
        <w:t xml:space="preserve"> </w:t>
      </w:r>
      <w:r w:rsidRPr="004304D2">
        <w:rPr>
          <w:color w:val="auto"/>
        </w:rPr>
        <w:t>designed to standardise processes for the granting of credit, the recognition of revenues, and the collection of debt. However, given the current economic outlook, and the welfare refor</w:t>
      </w:r>
      <w:r>
        <w:rPr>
          <w:color w:val="auto"/>
        </w:rPr>
        <w:t>m</w:t>
      </w:r>
      <w:r w:rsidRPr="004304D2">
        <w:rPr>
          <w:color w:val="auto"/>
        </w:rPr>
        <w:t>s</w:t>
      </w:r>
      <w:r>
        <w:rPr>
          <w:color w:val="auto"/>
        </w:rPr>
        <w:t xml:space="preserve"> already implemented</w:t>
      </w:r>
      <w:r w:rsidRPr="004304D2">
        <w:rPr>
          <w:color w:val="auto"/>
        </w:rPr>
        <w:t xml:space="preserve">, increased pressure will be felt by a large number of </w:t>
      </w:r>
      <w:r>
        <w:rPr>
          <w:color w:val="auto"/>
        </w:rPr>
        <w:t xml:space="preserve">customers </w:t>
      </w:r>
      <w:r w:rsidRPr="004304D2">
        <w:rPr>
          <w:color w:val="auto"/>
        </w:rPr>
        <w:t>on their own budgets, and this will ultimately impact on their ability to pay their bills promptly.</w:t>
      </w:r>
    </w:p>
    <w:p w:rsidR="00FF1185" w:rsidRPr="00CE52F0" w:rsidRDefault="00FF1185" w:rsidP="009A6E64">
      <w:pPr>
        <w:spacing w:after="0"/>
        <w:ind w:left="180"/>
        <w:rPr>
          <w:color w:val="auto"/>
        </w:rPr>
      </w:pPr>
    </w:p>
    <w:p w:rsidR="009A39AC" w:rsidRDefault="00BC5722" w:rsidP="00DC022D">
      <w:pPr>
        <w:numPr>
          <w:ilvl w:val="0"/>
          <w:numId w:val="44"/>
        </w:numPr>
        <w:spacing w:after="0"/>
        <w:rPr>
          <w:color w:val="auto"/>
        </w:rPr>
      </w:pPr>
      <w:r w:rsidRPr="004304D2">
        <w:rPr>
          <w:color w:val="auto"/>
        </w:rPr>
        <w:t>The reduction in househo</w:t>
      </w:r>
      <w:r>
        <w:rPr>
          <w:color w:val="auto"/>
        </w:rPr>
        <w:t xml:space="preserve">lds’ disposable income is </w:t>
      </w:r>
      <w:r w:rsidRPr="004304D2">
        <w:rPr>
          <w:color w:val="auto"/>
        </w:rPr>
        <w:t xml:space="preserve">also </w:t>
      </w:r>
      <w:r>
        <w:rPr>
          <w:color w:val="auto"/>
        </w:rPr>
        <w:t xml:space="preserve">likely to </w:t>
      </w:r>
      <w:r w:rsidRPr="004304D2">
        <w:rPr>
          <w:color w:val="auto"/>
        </w:rPr>
        <w:t>have a detrimental effect</w:t>
      </w:r>
      <w:r>
        <w:rPr>
          <w:color w:val="auto"/>
        </w:rPr>
        <w:t xml:space="preserve"> on </w:t>
      </w:r>
      <w:r w:rsidRPr="004304D2">
        <w:rPr>
          <w:color w:val="auto"/>
        </w:rPr>
        <w:t>businesses in the city, with lower turnover, resulting in higher cases of closure</w:t>
      </w:r>
      <w:r>
        <w:rPr>
          <w:color w:val="auto"/>
        </w:rPr>
        <w:t>. T</w:t>
      </w:r>
      <w:r w:rsidRPr="004304D2">
        <w:rPr>
          <w:color w:val="auto"/>
        </w:rPr>
        <w:t xml:space="preserve">hose businesses which do survive will do so with lower income levels. </w:t>
      </w:r>
      <w:r w:rsidR="009A39AC" w:rsidRPr="004304D2">
        <w:rPr>
          <w:color w:val="auto"/>
        </w:rPr>
        <w:t xml:space="preserve">Small businesses </w:t>
      </w:r>
      <w:r w:rsidR="00FF1185">
        <w:rPr>
          <w:color w:val="auto"/>
        </w:rPr>
        <w:t>report</w:t>
      </w:r>
      <w:r w:rsidR="009A39AC" w:rsidRPr="004304D2">
        <w:rPr>
          <w:color w:val="auto"/>
        </w:rPr>
        <w:t xml:space="preserve"> </w:t>
      </w:r>
      <w:r w:rsidR="004B4D98">
        <w:rPr>
          <w:color w:val="auto"/>
        </w:rPr>
        <w:t xml:space="preserve">suffering from the </w:t>
      </w:r>
      <w:r w:rsidR="00FF1185">
        <w:rPr>
          <w:color w:val="auto"/>
        </w:rPr>
        <w:t>effects</w:t>
      </w:r>
      <w:r w:rsidR="00366790">
        <w:rPr>
          <w:color w:val="auto"/>
        </w:rPr>
        <w:t xml:space="preserve"> of</w:t>
      </w:r>
      <w:r w:rsidR="00FF1185">
        <w:rPr>
          <w:color w:val="auto"/>
        </w:rPr>
        <w:t xml:space="preserve"> </w:t>
      </w:r>
      <w:r w:rsidR="004B4D98">
        <w:rPr>
          <w:color w:val="auto"/>
        </w:rPr>
        <w:t>increase</w:t>
      </w:r>
      <w:r w:rsidR="00366790">
        <w:rPr>
          <w:color w:val="auto"/>
        </w:rPr>
        <w:t>s</w:t>
      </w:r>
      <w:r w:rsidR="004B4D98">
        <w:rPr>
          <w:color w:val="auto"/>
        </w:rPr>
        <w:t xml:space="preserve"> in </w:t>
      </w:r>
      <w:r w:rsidR="00FF1185">
        <w:rPr>
          <w:color w:val="auto"/>
        </w:rPr>
        <w:t>i</w:t>
      </w:r>
      <w:r w:rsidR="004B4D98">
        <w:rPr>
          <w:color w:val="auto"/>
        </w:rPr>
        <w:t>nternet shopping</w:t>
      </w:r>
      <w:r w:rsidR="009A39AC" w:rsidRPr="004304D2">
        <w:rPr>
          <w:color w:val="auto"/>
        </w:rPr>
        <w:t xml:space="preserve">, which </w:t>
      </w:r>
      <w:r w:rsidR="00FF1185">
        <w:rPr>
          <w:color w:val="auto"/>
        </w:rPr>
        <w:t>in turn</w:t>
      </w:r>
      <w:r w:rsidR="00FF1185" w:rsidRPr="004304D2">
        <w:rPr>
          <w:color w:val="auto"/>
        </w:rPr>
        <w:t xml:space="preserve"> </w:t>
      </w:r>
      <w:r w:rsidR="009A39AC" w:rsidRPr="004304D2">
        <w:rPr>
          <w:color w:val="auto"/>
        </w:rPr>
        <w:t>result</w:t>
      </w:r>
      <w:r w:rsidR="00FF1185">
        <w:rPr>
          <w:color w:val="auto"/>
        </w:rPr>
        <w:t>s</w:t>
      </w:r>
      <w:r w:rsidR="009A39AC" w:rsidRPr="004304D2">
        <w:rPr>
          <w:color w:val="auto"/>
        </w:rPr>
        <w:t xml:space="preserve"> in poor cash flow, and </w:t>
      </w:r>
      <w:r w:rsidR="00FF1185">
        <w:rPr>
          <w:color w:val="auto"/>
        </w:rPr>
        <w:t xml:space="preserve">those small businesses </w:t>
      </w:r>
      <w:r w:rsidR="009A39AC" w:rsidRPr="004304D2">
        <w:rPr>
          <w:color w:val="auto"/>
        </w:rPr>
        <w:t>therefore will find it more difficult to pay</w:t>
      </w:r>
      <w:r w:rsidR="00366790">
        <w:rPr>
          <w:color w:val="auto"/>
        </w:rPr>
        <w:t xml:space="preserve"> any</w:t>
      </w:r>
      <w:r w:rsidR="009A39AC" w:rsidRPr="004304D2">
        <w:rPr>
          <w:color w:val="auto"/>
        </w:rPr>
        <w:t xml:space="preserve"> Council invoices promptly.</w:t>
      </w:r>
    </w:p>
    <w:p w:rsidR="00824820" w:rsidRDefault="00824820" w:rsidP="00824820">
      <w:pPr>
        <w:pStyle w:val="ListParagraph"/>
        <w:numPr>
          <w:ilvl w:val="0"/>
          <w:numId w:val="0"/>
        </w:numPr>
        <w:ind w:left="426"/>
        <w:rPr>
          <w:color w:val="auto"/>
        </w:rPr>
      </w:pPr>
    </w:p>
    <w:p w:rsidR="00824820" w:rsidRPr="004304D2" w:rsidRDefault="00824820" w:rsidP="00DC022D">
      <w:pPr>
        <w:numPr>
          <w:ilvl w:val="0"/>
          <w:numId w:val="44"/>
        </w:numPr>
        <w:spacing w:after="0"/>
        <w:rPr>
          <w:color w:val="auto"/>
        </w:rPr>
      </w:pPr>
      <w:r>
        <w:rPr>
          <w:color w:val="auto"/>
        </w:rPr>
        <w:t>The bad debt provision for each debt type is reviewed annually prior to the start of each financial year, and adjustments made to increase or decrease the provision based on the current level of debt.</w:t>
      </w:r>
    </w:p>
    <w:p w:rsidR="009A39AC" w:rsidRPr="004304D2" w:rsidRDefault="009A39AC" w:rsidP="009A39AC">
      <w:pPr>
        <w:spacing w:after="0"/>
        <w:ind w:left="720"/>
        <w:rPr>
          <w:color w:val="auto"/>
        </w:rPr>
      </w:pPr>
    </w:p>
    <w:p w:rsidR="009A39AC" w:rsidRDefault="009A39AC" w:rsidP="007577A7">
      <w:pPr>
        <w:spacing w:after="0"/>
        <w:ind w:left="540"/>
        <w:rPr>
          <w:b/>
          <w:color w:val="auto"/>
        </w:rPr>
      </w:pPr>
      <w:r w:rsidRPr="004304D2">
        <w:rPr>
          <w:b/>
          <w:color w:val="auto"/>
        </w:rPr>
        <w:t>Legal Implications</w:t>
      </w:r>
    </w:p>
    <w:p w:rsidR="00C7478D" w:rsidRPr="004304D2" w:rsidRDefault="00C7478D" w:rsidP="007577A7">
      <w:pPr>
        <w:spacing w:after="0"/>
        <w:ind w:left="540"/>
        <w:rPr>
          <w:b/>
          <w:color w:val="auto"/>
        </w:rPr>
      </w:pPr>
    </w:p>
    <w:p w:rsidR="004D56CB" w:rsidRPr="00874B82" w:rsidRDefault="009A39AC" w:rsidP="00DC022D">
      <w:pPr>
        <w:pStyle w:val="Default"/>
        <w:numPr>
          <w:ilvl w:val="0"/>
          <w:numId w:val="44"/>
        </w:numPr>
      </w:pPr>
      <w:r w:rsidRPr="006710C9">
        <w:rPr>
          <w:color w:val="auto"/>
          <w:lang w:eastAsia="en-US"/>
        </w:rPr>
        <w:t xml:space="preserve">Many </w:t>
      </w:r>
      <w:r w:rsidR="00366790" w:rsidRPr="006710C9">
        <w:rPr>
          <w:color w:val="auto"/>
          <w:lang w:eastAsia="en-US"/>
        </w:rPr>
        <w:t xml:space="preserve">of the </w:t>
      </w:r>
      <w:r w:rsidRPr="006710C9">
        <w:rPr>
          <w:color w:val="auto"/>
          <w:lang w:eastAsia="en-US"/>
        </w:rPr>
        <w:t>discretionary Council services are provided on a contractual basis</w:t>
      </w:r>
      <w:r w:rsidR="00366790" w:rsidRPr="006710C9">
        <w:rPr>
          <w:color w:val="auto"/>
          <w:lang w:eastAsia="en-US"/>
        </w:rPr>
        <w:t xml:space="preserve"> to customers</w:t>
      </w:r>
      <w:r w:rsidR="00453CE7">
        <w:rPr>
          <w:color w:val="auto"/>
          <w:lang w:eastAsia="en-US"/>
        </w:rPr>
        <w:t xml:space="preserve">. </w:t>
      </w:r>
      <w:r w:rsidRPr="000B6F45">
        <w:rPr>
          <w:color w:val="auto"/>
          <w:lang w:eastAsia="en-US"/>
        </w:rPr>
        <w:t xml:space="preserve"> All contracts and invoices or demands for payment </w:t>
      </w:r>
      <w:r w:rsidR="00366790" w:rsidRPr="009A6E64">
        <w:rPr>
          <w:color w:val="auto"/>
          <w:lang w:eastAsia="en-US"/>
        </w:rPr>
        <w:t xml:space="preserve">must </w:t>
      </w:r>
      <w:r w:rsidRPr="009A6E64">
        <w:rPr>
          <w:color w:val="auto"/>
          <w:lang w:eastAsia="en-US"/>
        </w:rPr>
        <w:t xml:space="preserve">contain a clear explanation of the terms upon which the services are provided including terms as to payment. It is the breach of those terms which would entitle the Council to pursue, if necessary through legal proceedings, the recovery of </w:t>
      </w:r>
      <w:r w:rsidR="00366790" w:rsidRPr="009A6E64">
        <w:rPr>
          <w:color w:val="auto"/>
          <w:lang w:eastAsia="en-US"/>
        </w:rPr>
        <w:t xml:space="preserve">a </w:t>
      </w:r>
      <w:r w:rsidRPr="009A6E64">
        <w:rPr>
          <w:color w:val="auto"/>
          <w:lang w:eastAsia="en-US"/>
        </w:rPr>
        <w:t>debt.</w:t>
      </w:r>
    </w:p>
    <w:p w:rsidR="00874B82" w:rsidRPr="004D56CB" w:rsidRDefault="00874B82" w:rsidP="00874B82">
      <w:pPr>
        <w:pStyle w:val="Default"/>
        <w:ind w:left="540"/>
      </w:pPr>
    </w:p>
    <w:p w:rsidR="004D56CB" w:rsidRPr="004D56CB" w:rsidRDefault="004D56CB" w:rsidP="004D56CB">
      <w:pPr>
        <w:pStyle w:val="Default"/>
        <w:ind w:left="540"/>
      </w:pPr>
    </w:p>
    <w:p w:rsidR="00366790" w:rsidRPr="009A6E64" w:rsidRDefault="009A39AC" w:rsidP="00DC022D">
      <w:pPr>
        <w:pStyle w:val="Default"/>
        <w:numPr>
          <w:ilvl w:val="0"/>
          <w:numId w:val="44"/>
        </w:numPr>
      </w:pPr>
      <w:r w:rsidRPr="009A6E64">
        <w:rPr>
          <w:color w:val="auto"/>
          <w:lang w:eastAsia="en-US"/>
        </w:rPr>
        <w:lastRenderedPageBreak/>
        <w:t xml:space="preserve"> </w:t>
      </w:r>
      <w:r w:rsidR="00C7478D" w:rsidRPr="009A6E64">
        <w:rPr>
          <w:color w:val="auto"/>
          <w:lang w:eastAsia="en-US"/>
        </w:rPr>
        <w:t xml:space="preserve">The Council is obliged to follow the </w:t>
      </w:r>
      <w:r w:rsidR="00C7478D" w:rsidRPr="009A6E64">
        <w:rPr>
          <w:sz w:val="22"/>
          <w:szCs w:val="22"/>
        </w:rPr>
        <w:t xml:space="preserve">Pre-Action Protocol for Debt Claims which </w:t>
      </w:r>
      <w:r w:rsidR="0043616A" w:rsidRPr="009A6E64">
        <w:rPr>
          <w:sz w:val="22"/>
          <w:szCs w:val="22"/>
        </w:rPr>
        <w:t xml:space="preserve">forms part of the Civil Procedure Rules and </w:t>
      </w:r>
      <w:r w:rsidR="00C7478D" w:rsidRPr="009A6E64">
        <w:rPr>
          <w:sz w:val="22"/>
          <w:szCs w:val="22"/>
        </w:rPr>
        <w:t xml:space="preserve">describes the way in which the Council and any debtors should conduct themselves before any legal action </w:t>
      </w:r>
      <w:r w:rsidR="0043616A" w:rsidRPr="009A6E64">
        <w:rPr>
          <w:sz w:val="22"/>
          <w:szCs w:val="22"/>
        </w:rPr>
        <w:t xml:space="preserve">is started. </w:t>
      </w:r>
      <w:r w:rsidRPr="009A6E64">
        <w:rPr>
          <w:color w:val="auto"/>
          <w:lang w:eastAsia="en-US"/>
        </w:rPr>
        <w:t>Debtors will alway</w:t>
      </w:r>
      <w:r w:rsidR="004B4D98" w:rsidRPr="009A6E64">
        <w:rPr>
          <w:color w:val="auto"/>
          <w:lang w:eastAsia="en-US"/>
        </w:rPr>
        <w:t>s receive a letter</w:t>
      </w:r>
      <w:r w:rsidRPr="009A6E64">
        <w:rPr>
          <w:color w:val="auto"/>
          <w:lang w:eastAsia="en-US"/>
        </w:rPr>
        <w:t xml:space="preserve"> before proceedings are issued by the Council in the hope that the issuing of proceedings may be avoided</w:t>
      </w:r>
      <w:r w:rsidR="007577A7" w:rsidRPr="009A6E64">
        <w:rPr>
          <w:rFonts w:ascii="Times New Roman" w:hAnsi="Times New Roman"/>
          <w:b/>
          <w:color w:val="auto"/>
        </w:rPr>
        <w:t>.</w:t>
      </w:r>
      <w:r w:rsidR="006710C9" w:rsidRPr="009A6E64">
        <w:rPr>
          <w:rFonts w:ascii="Times New Roman" w:hAnsi="Times New Roman"/>
          <w:b/>
          <w:color w:val="auto"/>
        </w:rPr>
        <w:t xml:space="preserve"> </w:t>
      </w:r>
      <w:r w:rsidR="006710C9" w:rsidRPr="009A6E64">
        <w:rPr>
          <w:color w:val="auto"/>
        </w:rPr>
        <w:t>The powers under which the Council collects a debt will be derived either from the legislation under which the sum due has arisen, for example T</w:t>
      </w:r>
      <w:r w:rsidR="006710C9" w:rsidRPr="009A6E64">
        <w:rPr>
          <w:color w:val="auto"/>
          <w:lang w:val="en-US"/>
        </w:rPr>
        <w:t>he Council Tax (Administration and Enforcement) Regulations 1992</w:t>
      </w:r>
      <w:r w:rsidR="006710C9" w:rsidRPr="009A6E64">
        <w:rPr>
          <w:color w:val="auto"/>
        </w:rPr>
        <w:t xml:space="preserve"> or under the terms of the contract between the Council and the customer.</w:t>
      </w:r>
    </w:p>
    <w:p w:rsidR="00C7478D" w:rsidRPr="009A6E64" w:rsidRDefault="00C7478D" w:rsidP="009A6E64">
      <w:pPr>
        <w:pStyle w:val="Default"/>
        <w:ind w:left="180"/>
      </w:pPr>
    </w:p>
    <w:p w:rsidR="00366790" w:rsidRDefault="009A39AC" w:rsidP="00DC022D">
      <w:pPr>
        <w:pStyle w:val="Default"/>
        <w:numPr>
          <w:ilvl w:val="0"/>
          <w:numId w:val="44"/>
        </w:numPr>
        <w:rPr>
          <w:color w:val="auto"/>
        </w:rPr>
      </w:pPr>
      <w:r w:rsidRPr="009A6E64">
        <w:rPr>
          <w:color w:val="auto"/>
        </w:rPr>
        <w:t>There are a range of enforcement options available to the Council, including Court act</w:t>
      </w:r>
      <w:r w:rsidR="004B4D98" w:rsidRPr="009A6E64">
        <w:rPr>
          <w:color w:val="auto"/>
        </w:rPr>
        <w:t xml:space="preserve">ion such as instructing </w:t>
      </w:r>
      <w:r w:rsidR="00366790" w:rsidRPr="009A6E64">
        <w:rPr>
          <w:color w:val="auto"/>
        </w:rPr>
        <w:t>e</w:t>
      </w:r>
      <w:r w:rsidR="004B4D98" w:rsidRPr="009A6E64">
        <w:rPr>
          <w:color w:val="auto"/>
        </w:rPr>
        <w:t xml:space="preserve">nforcement </w:t>
      </w:r>
      <w:r w:rsidR="00366790" w:rsidRPr="009A6E64">
        <w:rPr>
          <w:color w:val="auto"/>
        </w:rPr>
        <w:t>a</w:t>
      </w:r>
      <w:r w:rsidR="004B4D98" w:rsidRPr="009A6E64">
        <w:rPr>
          <w:color w:val="auto"/>
        </w:rPr>
        <w:t>gents</w:t>
      </w:r>
      <w:r w:rsidRPr="009A6E64">
        <w:rPr>
          <w:color w:val="auto"/>
        </w:rPr>
        <w:t>, attachment of earning order</w:t>
      </w:r>
      <w:r w:rsidR="004B4D98" w:rsidRPr="009A6E64">
        <w:rPr>
          <w:color w:val="auto"/>
        </w:rPr>
        <w:t>s, charging orders</w:t>
      </w:r>
      <w:r w:rsidRPr="009A6E64">
        <w:rPr>
          <w:color w:val="auto"/>
        </w:rPr>
        <w:t>, committal to prison</w:t>
      </w:r>
      <w:r w:rsidR="00366790" w:rsidRPr="009A6E64">
        <w:rPr>
          <w:color w:val="auto"/>
        </w:rPr>
        <w:t xml:space="preserve"> and</w:t>
      </w:r>
      <w:r w:rsidRPr="009A6E64">
        <w:rPr>
          <w:color w:val="auto"/>
        </w:rPr>
        <w:t xml:space="preserve"> bankruptcy. </w:t>
      </w:r>
      <w:r w:rsidR="00366790" w:rsidRPr="009A6E64">
        <w:rPr>
          <w:color w:val="auto"/>
        </w:rPr>
        <w:t xml:space="preserve">The Council </w:t>
      </w:r>
      <w:r w:rsidRPr="009A6E64">
        <w:rPr>
          <w:color w:val="auto"/>
        </w:rPr>
        <w:t>will use the most appropriate method of debt collection depending on the circumstances of the case and this may include a combination of a number of enforcement options</w:t>
      </w:r>
      <w:r w:rsidR="004B4D98" w:rsidRPr="009A6E64">
        <w:rPr>
          <w:color w:val="auto"/>
        </w:rPr>
        <w:t xml:space="preserve"> as allowed</w:t>
      </w:r>
      <w:r w:rsidRPr="009A6E64">
        <w:rPr>
          <w:color w:val="auto"/>
        </w:rPr>
        <w:t>.</w:t>
      </w:r>
    </w:p>
    <w:p w:rsidR="00E55AE3" w:rsidRPr="00E55AE3" w:rsidRDefault="00E55AE3" w:rsidP="00E55AE3">
      <w:pPr>
        <w:pStyle w:val="ListParagraph"/>
        <w:numPr>
          <w:ilvl w:val="0"/>
          <w:numId w:val="0"/>
        </w:numPr>
        <w:ind w:left="426"/>
        <w:rPr>
          <w:color w:val="auto"/>
        </w:rPr>
      </w:pPr>
    </w:p>
    <w:p w:rsidR="00E55AE3" w:rsidRPr="00E55AE3" w:rsidRDefault="00E55AE3" w:rsidP="00E55AE3">
      <w:pPr>
        <w:pStyle w:val="ListParagraph"/>
        <w:numPr>
          <w:ilvl w:val="0"/>
          <w:numId w:val="0"/>
        </w:numPr>
        <w:spacing w:after="0"/>
        <w:ind w:left="540"/>
        <w:rPr>
          <w:b/>
          <w:color w:val="auto"/>
        </w:rPr>
      </w:pPr>
      <w:r w:rsidRPr="00E55AE3">
        <w:rPr>
          <w:b/>
          <w:color w:val="auto"/>
        </w:rPr>
        <w:t>Risk Implications</w:t>
      </w:r>
    </w:p>
    <w:p w:rsidR="00E55AE3" w:rsidRPr="00E55AE3" w:rsidRDefault="00E55AE3" w:rsidP="00E55AE3">
      <w:pPr>
        <w:ind w:left="426" w:hanging="426"/>
        <w:rPr>
          <w:color w:val="auto"/>
        </w:rPr>
      </w:pPr>
    </w:p>
    <w:p w:rsidR="009A39AC" w:rsidRPr="0098692B" w:rsidRDefault="007577A7" w:rsidP="00DC022D">
      <w:pPr>
        <w:pStyle w:val="Default"/>
        <w:numPr>
          <w:ilvl w:val="0"/>
          <w:numId w:val="44"/>
        </w:numPr>
        <w:rPr>
          <w:color w:val="auto"/>
        </w:rPr>
      </w:pPr>
      <w:r w:rsidRPr="0098692B">
        <w:rPr>
          <w:color w:val="auto"/>
        </w:rPr>
        <w:t xml:space="preserve">The existing policy has been </w:t>
      </w:r>
      <w:r w:rsidR="0043616A" w:rsidRPr="0098692B">
        <w:rPr>
          <w:color w:val="auto"/>
        </w:rPr>
        <w:t>operating</w:t>
      </w:r>
      <w:r w:rsidRPr="0098692B">
        <w:rPr>
          <w:color w:val="auto"/>
        </w:rPr>
        <w:t xml:space="preserve"> for 3 years</w:t>
      </w:r>
      <w:r w:rsidR="0043616A" w:rsidRPr="0098692B">
        <w:rPr>
          <w:color w:val="auto"/>
        </w:rPr>
        <w:t>. It</w:t>
      </w:r>
      <w:r w:rsidRPr="0098692B">
        <w:rPr>
          <w:color w:val="auto"/>
        </w:rPr>
        <w:t xml:space="preserve"> introduced </w:t>
      </w:r>
      <w:r w:rsidR="00176C36" w:rsidRPr="0098692B">
        <w:rPr>
          <w:color w:val="auto"/>
        </w:rPr>
        <w:t xml:space="preserve">strengthened </w:t>
      </w:r>
      <w:r w:rsidRPr="0098692B">
        <w:rPr>
          <w:color w:val="auto"/>
        </w:rPr>
        <w:t>collection processes</w:t>
      </w:r>
      <w:r w:rsidR="00176C36" w:rsidRPr="0098692B">
        <w:rPr>
          <w:color w:val="auto"/>
        </w:rPr>
        <w:t xml:space="preserve"> but</w:t>
      </w:r>
      <w:r w:rsidR="009A39AC" w:rsidRPr="0098692B">
        <w:rPr>
          <w:color w:val="auto"/>
        </w:rPr>
        <w:t xml:space="preserve"> there is </w:t>
      </w:r>
      <w:r w:rsidR="0098692B" w:rsidRPr="0098692B">
        <w:rPr>
          <w:color w:val="auto"/>
        </w:rPr>
        <w:t>a risk to the Council’s reputation in implementing more stringent processes</w:t>
      </w:r>
      <w:r w:rsidR="0098692B">
        <w:rPr>
          <w:color w:val="auto"/>
        </w:rPr>
        <w:t xml:space="preserve"> </w:t>
      </w:r>
      <w:r w:rsidR="0098692B" w:rsidRPr="0098692B">
        <w:rPr>
          <w:color w:val="auto"/>
        </w:rPr>
        <w:t>if</w:t>
      </w:r>
      <w:r w:rsidR="009A39AC" w:rsidRPr="0098692B">
        <w:rPr>
          <w:color w:val="auto"/>
        </w:rPr>
        <w:t xml:space="preserve"> </w:t>
      </w:r>
      <w:r w:rsidR="0049506A" w:rsidRPr="0098692B">
        <w:rPr>
          <w:color w:val="auto"/>
        </w:rPr>
        <w:t xml:space="preserve">the </w:t>
      </w:r>
      <w:r w:rsidR="00BC5722" w:rsidRPr="0098692B">
        <w:rPr>
          <w:color w:val="auto"/>
        </w:rPr>
        <w:t>Council’s customers</w:t>
      </w:r>
      <w:r w:rsidR="009A39AC" w:rsidRPr="0098692B">
        <w:rPr>
          <w:color w:val="auto"/>
        </w:rPr>
        <w:t xml:space="preserve"> are looking for more flexibility, rather than less. </w:t>
      </w:r>
      <w:r w:rsidR="00176C36" w:rsidRPr="0098692B">
        <w:rPr>
          <w:color w:val="auto"/>
        </w:rPr>
        <w:t xml:space="preserve">As the revised policy is rolled out the Council will </w:t>
      </w:r>
      <w:r w:rsidR="009A39AC" w:rsidRPr="0098692B">
        <w:rPr>
          <w:color w:val="auto"/>
        </w:rPr>
        <w:t>ensur</w:t>
      </w:r>
      <w:r w:rsidR="00176C36" w:rsidRPr="0098692B">
        <w:rPr>
          <w:color w:val="auto"/>
        </w:rPr>
        <w:t>e</w:t>
      </w:r>
      <w:r w:rsidR="009A39AC" w:rsidRPr="0098692B">
        <w:rPr>
          <w:color w:val="auto"/>
        </w:rPr>
        <w:t xml:space="preserve"> that all officers </w:t>
      </w:r>
      <w:r w:rsidR="00176C36" w:rsidRPr="0098692B">
        <w:rPr>
          <w:color w:val="auto"/>
        </w:rPr>
        <w:t>are</w:t>
      </w:r>
      <w:r w:rsidR="009A39AC" w:rsidRPr="0098692B">
        <w:rPr>
          <w:color w:val="auto"/>
        </w:rPr>
        <w:t xml:space="preserve"> aware that there is a need to </w:t>
      </w:r>
      <w:r w:rsidR="00176C36" w:rsidRPr="0098692B">
        <w:rPr>
          <w:color w:val="auto"/>
        </w:rPr>
        <w:t>provide</w:t>
      </w:r>
      <w:r w:rsidR="009A39AC" w:rsidRPr="0098692B">
        <w:rPr>
          <w:color w:val="auto"/>
        </w:rPr>
        <w:t xml:space="preserve"> all customers</w:t>
      </w:r>
      <w:r w:rsidR="00453CE7" w:rsidRPr="0098692B">
        <w:rPr>
          <w:color w:val="auto"/>
        </w:rPr>
        <w:t>,</w:t>
      </w:r>
      <w:r w:rsidR="009A39AC" w:rsidRPr="0098692B">
        <w:rPr>
          <w:color w:val="auto"/>
        </w:rPr>
        <w:t xml:space="preserve"> who are struggling to fulfil their obligations in relation to debts</w:t>
      </w:r>
      <w:r w:rsidR="00453CE7" w:rsidRPr="0098692B">
        <w:rPr>
          <w:color w:val="auto"/>
        </w:rPr>
        <w:t>,</w:t>
      </w:r>
      <w:r w:rsidR="009A39AC" w:rsidRPr="0098692B">
        <w:rPr>
          <w:color w:val="auto"/>
        </w:rPr>
        <w:t xml:space="preserve"> </w:t>
      </w:r>
      <w:r w:rsidR="00176C36" w:rsidRPr="0098692B">
        <w:rPr>
          <w:color w:val="auto"/>
        </w:rPr>
        <w:t>with</w:t>
      </w:r>
      <w:r w:rsidR="009A39AC" w:rsidRPr="0098692B">
        <w:rPr>
          <w:color w:val="auto"/>
        </w:rPr>
        <w:t xml:space="preserve"> details of organisations </w:t>
      </w:r>
      <w:r w:rsidR="00176C36" w:rsidRPr="0098692B">
        <w:rPr>
          <w:color w:val="auto"/>
        </w:rPr>
        <w:t xml:space="preserve">that </w:t>
      </w:r>
      <w:r w:rsidR="009A39AC" w:rsidRPr="0098692B">
        <w:rPr>
          <w:color w:val="auto"/>
        </w:rPr>
        <w:t>can provide</w:t>
      </w:r>
      <w:r w:rsidR="00453CE7" w:rsidRPr="0098692B">
        <w:rPr>
          <w:color w:val="auto"/>
        </w:rPr>
        <w:t xml:space="preserve"> them with</w:t>
      </w:r>
      <w:r w:rsidR="009A39AC" w:rsidRPr="0098692B">
        <w:rPr>
          <w:color w:val="auto"/>
        </w:rPr>
        <w:t xml:space="preserve"> help and advice</w:t>
      </w:r>
      <w:r w:rsidR="00453CE7" w:rsidRPr="0098692B">
        <w:rPr>
          <w:color w:val="auto"/>
        </w:rPr>
        <w:t>.</w:t>
      </w:r>
      <w:r w:rsidR="009A39AC" w:rsidRPr="0098692B">
        <w:rPr>
          <w:color w:val="auto"/>
        </w:rPr>
        <w:t xml:space="preserve"> </w:t>
      </w:r>
    </w:p>
    <w:p w:rsidR="00243EB2" w:rsidRDefault="00243EB2" w:rsidP="00243EB2">
      <w:pPr>
        <w:pStyle w:val="Default"/>
        <w:ind w:left="540"/>
        <w:rPr>
          <w:color w:val="auto"/>
        </w:rPr>
      </w:pPr>
    </w:p>
    <w:p w:rsidR="00243EB2" w:rsidRPr="00502745" w:rsidRDefault="00243EB2" w:rsidP="00DC022D">
      <w:pPr>
        <w:pStyle w:val="Default"/>
        <w:numPr>
          <w:ilvl w:val="0"/>
          <w:numId w:val="44"/>
        </w:numPr>
        <w:rPr>
          <w:color w:val="auto"/>
        </w:rPr>
      </w:pPr>
      <w:r w:rsidRPr="00502745">
        <w:rPr>
          <w:color w:val="auto"/>
        </w:rPr>
        <w:t>The Council takes its obligations to its customers seriously. All officers dealing with debtors</w:t>
      </w:r>
      <w:r w:rsidR="00D655B5" w:rsidRPr="00502745">
        <w:rPr>
          <w:color w:val="auto"/>
        </w:rPr>
        <w:t xml:space="preserve"> receive training regarding our approach to debt recovery. This includes Safeguarding, </w:t>
      </w:r>
      <w:r w:rsidRPr="00502745">
        <w:rPr>
          <w:color w:val="auto"/>
        </w:rPr>
        <w:t xml:space="preserve">Identifying </w:t>
      </w:r>
      <w:r w:rsidR="00A962D5" w:rsidRPr="00502745">
        <w:rPr>
          <w:color w:val="auto"/>
        </w:rPr>
        <w:t>Vulnerability</w:t>
      </w:r>
      <w:r w:rsidRPr="00502745">
        <w:rPr>
          <w:color w:val="auto"/>
        </w:rPr>
        <w:t>, Debt Recovery Procedures</w:t>
      </w:r>
      <w:r w:rsidR="00D655B5" w:rsidRPr="00502745">
        <w:rPr>
          <w:color w:val="auto"/>
        </w:rPr>
        <w:t xml:space="preserve"> and Holding Difficult Conversations. Refresher training is provided in a timely fashion.</w:t>
      </w:r>
    </w:p>
    <w:p w:rsidR="00243EB2" w:rsidRDefault="00243EB2" w:rsidP="00243EB2">
      <w:pPr>
        <w:pStyle w:val="Default"/>
        <w:ind w:left="540"/>
        <w:rPr>
          <w:color w:val="auto"/>
        </w:rPr>
      </w:pPr>
    </w:p>
    <w:p w:rsidR="00CE52F0" w:rsidRDefault="00CE52F0" w:rsidP="00DC022D">
      <w:pPr>
        <w:pStyle w:val="Default"/>
        <w:numPr>
          <w:ilvl w:val="0"/>
          <w:numId w:val="44"/>
        </w:numPr>
        <w:rPr>
          <w:color w:val="auto"/>
        </w:rPr>
      </w:pPr>
      <w:r w:rsidRPr="00E55AE3">
        <w:rPr>
          <w:color w:val="auto"/>
        </w:rPr>
        <w:t>A risk register is attached at Appendix 2.</w:t>
      </w:r>
    </w:p>
    <w:p w:rsidR="00E55AE3" w:rsidRDefault="00E55AE3" w:rsidP="00E55AE3">
      <w:pPr>
        <w:spacing w:after="0"/>
        <w:ind w:left="180"/>
        <w:rPr>
          <w:b/>
          <w:color w:val="auto"/>
        </w:rPr>
      </w:pPr>
    </w:p>
    <w:p w:rsidR="00E55AE3" w:rsidRPr="00E55AE3" w:rsidRDefault="00E55AE3" w:rsidP="00E55AE3">
      <w:pPr>
        <w:spacing w:after="0"/>
        <w:ind w:left="180"/>
        <w:rPr>
          <w:b/>
          <w:color w:val="auto"/>
        </w:rPr>
      </w:pPr>
      <w:r w:rsidRPr="00E55AE3">
        <w:rPr>
          <w:b/>
          <w:color w:val="auto"/>
        </w:rPr>
        <w:t>Equalities Impact Assessment</w:t>
      </w:r>
    </w:p>
    <w:p w:rsidR="00E55AE3" w:rsidRDefault="00E55AE3" w:rsidP="00E55AE3">
      <w:pPr>
        <w:pStyle w:val="Default"/>
        <w:ind w:left="540"/>
        <w:rPr>
          <w:color w:val="auto"/>
        </w:rPr>
      </w:pPr>
    </w:p>
    <w:p w:rsidR="009A39AC" w:rsidRPr="00243EB2" w:rsidRDefault="009A39AC" w:rsidP="00DC022D">
      <w:pPr>
        <w:pStyle w:val="Default"/>
        <w:numPr>
          <w:ilvl w:val="0"/>
          <w:numId w:val="44"/>
        </w:numPr>
        <w:rPr>
          <w:color w:val="auto"/>
        </w:rPr>
      </w:pPr>
      <w:r w:rsidRPr="00E55AE3">
        <w:rPr>
          <w:rFonts w:eastAsia="Calibri"/>
          <w:color w:val="auto"/>
          <w:lang w:eastAsia="en-US"/>
        </w:rPr>
        <w:t>The Public Sector Equality Duty requires public bodies to consider how the decisions that they make, and the services they deliver, affect people who share diff</w:t>
      </w:r>
      <w:r w:rsidR="004726A7" w:rsidRPr="00E55AE3">
        <w:rPr>
          <w:rFonts w:eastAsia="Calibri"/>
          <w:color w:val="auto"/>
          <w:lang w:eastAsia="en-US"/>
        </w:rPr>
        <w:t>erent protected characteristics.</w:t>
      </w:r>
    </w:p>
    <w:p w:rsidR="00243EB2" w:rsidRPr="00E55AE3" w:rsidRDefault="00243EB2" w:rsidP="00243EB2">
      <w:pPr>
        <w:pStyle w:val="Default"/>
        <w:ind w:left="540"/>
        <w:rPr>
          <w:color w:val="auto"/>
        </w:rPr>
      </w:pPr>
    </w:p>
    <w:p w:rsidR="00243EB2" w:rsidRDefault="009A39AC" w:rsidP="00DC022D">
      <w:pPr>
        <w:pStyle w:val="Default"/>
        <w:numPr>
          <w:ilvl w:val="0"/>
          <w:numId w:val="44"/>
        </w:numPr>
        <w:rPr>
          <w:color w:val="auto"/>
        </w:rPr>
      </w:pPr>
      <w:r w:rsidRPr="00E55AE3">
        <w:rPr>
          <w:color w:val="auto"/>
        </w:rPr>
        <w:t>The main potential impact with this policy arises from the debts accrued through Council Tax and Housing rent arrears and can be associated with the socio-disadvantaged residents and low earners where there will inevitably be groups with protected characteristics.</w:t>
      </w:r>
    </w:p>
    <w:p w:rsidR="00B53395" w:rsidRPr="00B53395" w:rsidRDefault="00B53395" w:rsidP="00B53395">
      <w:pPr>
        <w:ind w:left="426" w:hanging="426"/>
        <w:rPr>
          <w:color w:val="auto"/>
        </w:rPr>
      </w:pPr>
    </w:p>
    <w:p w:rsidR="00243EB2" w:rsidRPr="00B53395" w:rsidRDefault="00B53395" w:rsidP="00B952EA">
      <w:pPr>
        <w:ind w:left="180"/>
        <w:rPr>
          <w:color w:val="auto"/>
        </w:rPr>
      </w:pPr>
      <w:r>
        <w:rPr>
          <w:color w:val="auto"/>
        </w:rPr>
        <w:t xml:space="preserve">25. </w:t>
      </w:r>
      <w:r w:rsidR="004726A7" w:rsidRPr="00B53395">
        <w:rPr>
          <w:color w:val="auto"/>
        </w:rPr>
        <w:t xml:space="preserve">This policy will not discriminate against any individual with a protected </w:t>
      </w:r>
      <w:r w:rsidR="00B952EA">
        <w:rPr>
          <w:color w:val="auto"/>
        </w:rPr>
        <w:t xml:space="preserve">     </w:t>
      </w:r>
      <w:r w:rsidR="00AD2D8E" w:rsidRPr="00B53395">
        <w:rPr>
          <w:color w:val="auto"/>
        </w:rPr>
        <w:t>characteristic.</w:t>
      </w:r>
      <w:r w:rsidR="004726A7" w:rsidRPr="00B53395">
        <w:rPr>
          <w:color w:val="auto"/>
        </w:rPr>
        <w:t xml:space="preserve"> </w:t>
      </w:r>
      <w:r w:rsidR="00453CE7" w:rsidRPr="00B53395">
        <w:rPr>
          <w:color w:val="auto"/>
        </w:rPr>
        <w:t>E</w:t>
      </w:r>
      <w:r w:rsidR="004726A7" w:rsidRPr="00B53395">
        <w:rPr>
          <w:color w:val="auto"/>
        </w:rPr>
        <w:t>ach individual case will be treated on its own merit</w:t>
      </w:r>
      <w:r w:rsidR="00B952EA">
        <w:rPr>
          <w:color w:val="auto"/>
        </w:rPr>
        <w:t xml:space="preserve">, </w:t>
      </w:r>
      <w:r w:rsidR="00BC5722" w:rsidRPr="00B53395">
        <w:rPr>
          <w:color w:val="auto"/>
        </w:rPr>
        <w:t>and therefore</w:t>
      </w:r>
      <w:r w:rsidR="004726A7" w:rsidRPr="00B53395">
        <w:rPr>
          <w:color w:val="auto"/>
        </w:rPr>
        <w:t xml:space="preserve"> a </w:t>
      </w:r>
      <w:r w:rsidR="00453CE7" w:rsidRPr="00B53395">
        <w:rPr>
          <w:color w:val="auto"/>
        </w:rPr>
        <w:t xml:space="preserve">generic </w:t>
      </w:r>
      <w:r w:rsidR="004726A7" w:rsidRPr="00B53395">
        <w:rPr>
          <w:color w:val="auto"/>
        </w:rPr>
        <w:t>Impact Assessment has not been completed</w:t>
      </w:r>
      <w:r w:rsidR="00453CE7" w:rsidRPr="00B53395">
        <w:rPr>
          <w:color w:val="auto"/>
        </w:rPr>
        <w:t>, as it has limited value</w:t>
      </w:r>
      <w:r w:rsidR="004726A7" w:rsidRPr="00B53395">
        <w:rPr>
          <w:color w:val="auto"/>
        </w:rPr>
        <w:t>.</w:t>
      </w:r>
      <w:r w:rsidR="009A39AC" w:rsidRPr="00B53395">
        <w:rPr>
          <w:color w:val="auto"/>
        </w:rPr>
        <w:t xml:space="preserve"> </w:t>
      </w:r>
      <w:r w:rsidRPr="00B53395">
        <w:rPr>
          <w:color w:val="auto"/>
        </w:rPr>
        <w:tab/>
      </w:r>
    </w:p>
    <w:p w:rsidR="00243EB2" w:rsidRPr="00426B37" w:rsidRDefault="00243EB2" w:rsidP="00426B37">
      <w:pPr>
        <w:pStyle w:val="ListParagraph"/>
        <w:numPr>
          <w:ilvl w:val="0"/>
          <w:numId w:val="0"/>
        </w:numPr>
        <w:ind w:left="426"/>
        <w:rPr>
          <w:color w:val="auto"/>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9A39AC" w:rsidRPr="001356F1" w:rsidTr="00441542">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9A39AC" w:rsidRPr="001356F1" w:rsidRDefault="009A39AC" w:rsidP="00441542">
            <w:pPr>
              <w:rPr>
                <w:b/>
              </w:rPr>
            </w:pPr>
            <w:r w:rsidRPr="001356F1">
              <w:rPr>
                <w:b/>
              </w:rPr>
              <w:lastRenderedPageBreak/>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9A39AC" w:rsidRPr="001356F1" w:rsidRDefault="00F13E1D" w:rsidP="00441542">
            <w:r>
              <w:t>Tanya Bandekar</w:t>
            </w:r>
          </w:p>
        </w:tc>
      </w:tr>
      <w:tr w:rsidR="009A39AC" w:rsidRPr="001356F1" w:rsidTr="00441542">
        <w:trPr>
          <w:cantSplit/>
          <w:trHeight w:val="396"/>
        </w:trPr>
        <w:tc>
          <w:tcPr>
            <w:tcW w:w="3969" w:type="dxa"/>
            <w:tcBorders>
              <w:top w:val="single" w:sz="8" w:space="0" w:color="000000"/>
              <w:left w:val="single" w:sz="8" w:space="0" w:color="000000"/>
              <w:bottom w:val="nil"/>
              <w:right w:val="nil"/>
            </w:tcBorders>
            <w:shd w:val="clear" w:color="auto" w:fill="auto"/>
          </w:tcPr>
          <w:p w:rsidR="009A39AC" w:rsidRPr="001356F1" w:rsidRDefault="009A39AC" w:rsidP="00441542">
            <w:r w:rsidRPr="001356F1">
              <w:t>Job title</w:t>
            </w:r>
          </w:p>
        </w:tc>
        <w:tc>
          <w:tcPr>
            <w:tcW w:w="4962" w:type="dxa"/>
            <w:tcBorders>
              <w:top w:val="single" w:sz="8" w:space="0" w:color="000000"/>
              <w:left w:val="nil"/>
              <w:bottom w:val="nil"/>
              <w:right w:val="single" w:sz="8" w:space="0" w:color="000000"/>
            </w:tcBorders>
            <w:shd w:val="clear" w:color="auto" w:fill="auto"/>
          </w:tcPr>
          <w:p w:rsidR="009A39AC" w:rsidRPr="001356F1" w:rsidRDefault="00F13E1D" w:rsidP="00441542">
            <w:r>
              <w:t>Service Manager, Revenues and Benefits</w:t>
            </w:r>
          </w:p>
        </w:tc>
      </w:tr>
      <w:tr w:rsidR="009A39AC" w:rsidRPr="001356F1" w:rsidTr="00441542">
        <w:trPr>
          <w:cantSplit/>
          <w:trHeight w:val="396"/>
        </w:trPr>
        <w:tc>
          <w:tcPr>
            <w:tcW w:w="3969" w:type="dxa"/>
            <w:tcBorders>
              <w:top w:val="nil"/>
              <w:left w:val="single" w:sz="8" w:space="0" w:color="000000"/>
              <w:bottom w:val="nil"/>
              <w:right w:val="nil"/>
            </w:tcBorders>
            <w:shd w:val="clear" w:color="auto" w:fill="auto"/>
          </w:tcPr>
          <w:p w:rsidR="009A39AC" w:rsidRPr="001356F1" w:rsidRDefault="009A39AC" w:rsidP="00441542">
            <w:r w:rsidRPr="001356F1">
              <w:t>Service area or department</w:t>
            </w:r>
          </w:p>
        </w:tc>
        <w:tc>
          <w:tcPr>
            <w:tcW w:w="4962" w:type="dxa"/>
            <w:tcBorders>
              <w:top w:val="nil"/>
              <w:left w:val="nil"/>
              <w:bottom w:val="nil"/>
              <w:right w:val="single" w:sz="8" w:space="0" w:color="000000"/>
            </w:tcBorders>
            <w:shd w:val="clear" w:color="auto" w:fill="auto"/>
          </w:tcPr>
          <w:p w:rsidR="009A39AC" w:rsidRPr="001356F1" w:rsidRDefault="00F13E1D" w:rsidP="00441542">
            <w:r>
              <w:t>Financial Services</w:t>
            </w:r>
          </w:p>
        </w:tc>
      </w:tr>
      <w:tr w:rsidR="009A39AC" w:rsidRPr="001356F1" w:rsidTr="00441542">
        <w:trPr>
          <w:cantSplit/>
          <w:trHeight w:val="396"/>
        </w:trPr>
        <w:tc>
          <w:tcPr>
            <w:tcW w:w="3969" w:type="dxa"/>
            <w:tcBorders>
              <w:top w:val="nil"/>
              <w:left w:val="single" w:sz="8" w:space="0" w:color="000000"/>
              <w:bottom w:val="nil"/>
              <w:right w:val="nil"/>
            </w:tcBorders>
            <w:shd w:val="clear" w:color="auto" w:fill="auto"/>
          </w:tcPr>
          <w:p w:rsidR="009A39AC" w:rsidRPr="001356F1" w:rsidRDefault="009A39AC" w:rsidP="00441542">
            <w:r w:rsidRPr="001356F1">
              <w:t xml:space="preserve">Telephone </w:t>
            </w:r>
          </w:p>
        </w:tc>
        <w:tc>
          <w:tcPr>
            <w:tcW w:w="4962" w:type="dxa"/>
            <w:tcBorders>
              <w:top w:val="nil"/>
              <w:left w:val="nil"/>
              <w:bottom w:val="nil"/>
              <w:right w:val="single" w:sz="8" w:space="0" w:color="000000"/>
            </w:tcBorders>
            <w:shd w:val="clear" w:color="auto" w:fill="auto"/>
          </w:tcPr>
          <w:p w:rsidR="009A39AC" w:rsidRPr="001356F1" w:rsidRDefault="00F13E1D" w:rsidP="00441542">
            <w:r>
              <w:t>01865 252281</w:t>
            </w:r>
            <w:r w:rsidR="009A39AC" w:rsidRPr="001356F1">
              <w:t xml:space="preserve">  </w:t>
            </w:r>
          </w:p>
        </w:tc>
      </w:tr>
      <w:tr w:rsidR="009A39AC" w:rsidRPr="001356F1" w:rsidTr="00441542">
        <w:trPr>
          <w:cantSplit/>
          <w:trHeight w:val="396"/>
        </w:trPr>
        <w:tc>
          <w:tcPr>
            <w:tcW w:w="3969" w:type="dxa"/>
            <w:tcBorders>
              <w:top w:val="nil"/>
              <w:left w:val="single" w:sz="8" w:space="0" w:color="000000"/>
              <w:bottom w:val="single" w:sz="8" w:space="0" w:color="000000"/>
              <w:right w:val="nil"/>
            </w:tcBorders>
            <w:shd w:val="clear" w:color="auto" w:fill="auto"/>
          </w:tcPr>
          <w:p w:rsidR="009A39AC" w:rsidRPr="001356F1" w:rsidRDefault="009A39AC" w:rsidP="00441542">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9A39AC" w:rsidRPr="001356F1" w:rsidRDefault="00F13E1D" w:rsidP="00441542">
            <w:pPr>
              <w:rPr>
                <w:rStyle w:val="Hyperlink"/>
                <w:color w:val="000000"/>
              </w:rPr>
            </w:pPr>
            <w:r>
              <w:rPr>
                <w:rStyle w:val="Hyperlink"/>
                <w:color w:val="000000"/>
              </w:rPr>
              <w:t>tbandekar@oxford.gov.uk</w:t>
            </w:r>
          </w:p>
        </w:tc>
      </w:tr>
    </w:tbl>
    <w:p w:rsidR="009A39AC" w:rsidRPr="001356F1" w:rsidRDefault="009A39AC" w:rsidP="009A39A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9A39AC" w:rsidRPr="001356F1" w:rsidTr="00441542">
        <w:tc>
          <w:tcPr>
            <w:tcW w:w="8931" w:type="dxa"/>
            <w:tcBorders>
              <w:top w:val="single" w:sz="4" w:space="0" w:color="auto"/>
              <w:left w:val="single" w:sz="4" w:space="0" w:color="auto"/>
              <w:bottom w:val="single" w:sz="8" w:space="0" w:color="000000"/>
              <w:right w:val="single" w:sz="4" w:space="0" w:color="auto"/>
            </w:tcBorders>
            <w:shd w:val="clear" w:color="auto" w:fill="auto"/>
          </w:tcPr>
          <w:p w:rsidR="009A39AC" w:rsidRPr="001356F1" w:rsidRDefault="009A39AC" w:rsidP="00441542">
            <w:r w:rsidRPr="001356F1">
              <w:rPr>
                <w:rStyle w:val="Firstpagetablebold"/>
              </w:rPr>
              <w:t xml:space="preserve">Background Papers: </w:t>
            </w:r>
            <w:r w:rsidRPr="001356F1">
              <w:rPr>
                <w:rStyle w:val="Firstpagetablebold"/>
                <w:b w:val="0"/>
              </w:rPr>
              <w:t>None</w:t>
            </w:r>
          </w:p>
        </w:tc>
      </w:tr>
    </w:tbl>
    <w:p w:rsidR="009A39AC" w:rsidRDefault="009A39AC" w:rsidP="009A39AC"/>
    <w:sectPr w:rsidR="009A39AC"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AAD" w:rsidRDefault="00EE1AAD" w:rsidP="004A6D2F">
      <w:r>
        <w:separator/>
      </w:r>
    </w:p>
  </w:endnote>
  <w:endnote w:type="continuationSeparator" w:id="0">
    <w:p w:rsidR="00EE1AAD" w:rsidRDefault="00EE1AAD"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T14517o00">
    <w:altName w:val="Cambria"/>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AD" w:rsidRDefault="00EE1AAD" w:rsidP="004A6D2F">
    <w:pPr>
      <w:pStyle w:val="Footer"/>
    </w:pPr>
    <w:r>
      <w:t>Do not use a footer or page numbers.</w:t>
    </w:r>
  </w:p>
  <w:p w:rsidR="00EE1AAD" w:rsidRDefault="00EE1AAD" w:rsidP="004A6D2F">
    <w:pPr>
      <w:pStyle w:val="Footer"/>
    </w:pPr>
  </w:p>
  <w:p w:rsidR="00EE1AAD" w:rsidRDefault="00EE1A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AD" w:rsidRDefault="00EE1AAD"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AAD" w:rsidRDefault="00EE1AAD" w:rsidP="004A6D2F">
      <w:r>
        <w:separator/>
      </w:r>
    </w:p>
  </w:footnote>
  <w:footnote w:type="continuationSeparator" w:id="0">
    <w:p w:rsidR="00EE1AAD" w:rsidRDefault="00EE1AAD"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AD" w:rsidRDefault="00EE1AAD" w:rsidP="00D5547E">
    <w:pPr>
      <w:pStyle w:val="Header"/>
      <w:jc w:val="right"/>
    </w:pPr>
    <w:r>
      <w:rPr>
        <w:noProof/>
      </w:rPr>
      <w:drawing>
        <wp:inline distT="0" distB="0" distL="0" distR="0" wp14:anchorId="1AFA5000" wp14:editId="0FDBE220">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7B72ACC"/>
    <w:multiLevelType w:val="hybridMultilevel"/>
    <w:tmpl w:val="A1FCEAF8"/>
    <w:lvl w:ilvl="0" w:tplc="AB36D568">
      <w:start w:val="1"/>
      <w:numFmt w:val="decimal"/>
      <w:lvlText w:val="%1."/>
      <w:lvlJc w:val="left"/>
      <w:pPr>
        <w:ind w:left="720" w:hanging="360"/>
      </w:pPr>
      <w:rPr>
        <w:rFonts w:ascii="Arial" w:eastAsia="Times New Roman" w:hAnsi="Arial"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9495413"/>
    <w:multiLevelType w:val="hybridMultilevel"/>
    <w:tmpl w:val="9C60A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0CFD65E7"/>
    <w:multiLevelType w:val="multilevel"/>
    <w:tmpl w:val="4AA029EA"/>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18">
    <w:nsid w:val="15D0794E"/>
    <w:multiLevelType w:val="hybridMultilevel"/>
    <w:tmpl w:val="C54C7F9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nsid w:val="1A9F6C92"/>
    <w:multiLevelType w:val="hybridMultilevel"/>
    <w:tmpl w:val="062ADADC"/>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22263A6A"/>
    <w:multiLevelType w:val="multilevel"/>
    <w:tmpl w:val="43D6D2FA"/>
    <w:numStyleLink w:val="StyleBulletedSymbolsymbolLeft063cmHanging063cm"/>
  </w:abstractNum>
  <w:abstractNum w:abstractNumId="23">
    <w:nsid w:val="23DD0827"/>
    <w:multiLevelType w:val="hybridMultilevel"/>
    <w:tmpl w:val="062AD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9D5068D"/>
    <w:multiLevelType w:val="hybridMultilevel"/>
    <w:tmpl w:val="94AE663C"/>
    <w:lvl w:ilvl="0" w:tplc="E0F46AD2">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5ABA5FD8"/>
    <w:multiLevelType w:val="multilevel"/>
    <w:tmpl w:val="43D6D2FA"/>
    <w:numStyleLink w:val="StyleBulletedSymbolsymbolLeft063cmHanging063cm"/>
  </w:abstractNum>
  <w:abstractNum w:abstractNumId="34">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E19296B"/>
    <w:multiLevelType w:val="hybridMultilevel"/>
    <w:tmpl w:val="984C4364"/>
    <w:lvl w:ilvl="0" w:tplc="AF00344C">
      <w:start w:val="2"/>
      <w:numFmt w:val="decimal"/>
      <w:lvlText w:val="%1."/>
      <w:lvlJc w:val="left"/>
      <w:pPr>
        <w:ind w:left="540" w:hanging="360"/>
      </w:pPr>
      <w:rPr>
        <w:rFonts w:hint="default"/>
      </w:rPr>
    </w:lvl>
    <w:lvl w:ilvl="1" w:tplc="08090019">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36">
    <w:nsid w:val="62A22831"/>
    <w:multiLevelType w:val="multilevel"/>
    <w:tmpl w:val="43D6D2FA"/>
    <w:numStyleLink w:val="StyleBulletedSymbolsymbolLeft063cmHanging063cm"/>
  </w:abstractNum>
  <w:abstractNum w:abstractNumId="37">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DED698F"/>
    <w:multiLevelType w:val="hybridMultilevel"/>
    <w:tmpl w:val="BCE29E56"/>
    <w:lvl w:ilvl="0" w:tplc="AF00344C">
      <w:start w:val="2"/>
      <w:numFmt w:val="decimal"/>
      <w:lvlText w:val="%1."/>
      <w:lvlJc w:val="left"/>
      <w:pPr>
        <w:ind w:left="540" w:hanging="360"/>
      </w:pPr>
      <w:rPr>
        <w:rFonts w:hint="default"/>
      </w:rPr>
    </w:lvl>
    <w:lvl w:ilvl="1" w:tplc="08090019">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4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779C7658"/>
    <w:multiLevelType w:val="hybridMultilevel"/>
    <w:tmpl w:val="026AD5A2"/>
    <w:lvl w:ilvl="0" w:tplc="CDE43D2A">
      <w:start w:val="1"/>
      <w:numFmt w:val="lowerLetter"/>
      <w:lvlText w:val="%1)"/>
      <w:lvlJc w:val="left"/>
      <w:pPr>
        <w:ind w:left="1066" w:hanging="360"/>
      </w:pPr>
      <w:rPr>
        <w:rFonts w:hint="default"/>
        <w:b w:val="0"/>
      </w:rPr>
    </w:lvl>
    <w:lvl w:ilvl="1" w:tplc="08090019" w:tentative="1">
      <w:start w:val="1"/>
      <w:numFmt w:val="lowerLetter"/>
      <w:lvlText w:val="%2."/>
      <w:lvlJc w:val="left"/>
      <w:pPr>
        <w:ind w:left="1786" w:hanging="360"/>
      </w:pPr>
    </w:lvl>
    <w:lvl w:ilvl="2" w:tplc="0809001B" w:tentative="1">
      <w:start w:val="1"/>
      <w:numFmt w:val="lowerRoman"/>
      <w:lvlText w:val="%3."/>
      <w:lvlJc w:val="right"/>
      <w:pPr>
        <w:ind w:left="2506" w:hanging="180"/>
      </w:pPr>
    </w:lvl>
    <w:lvl w:ilvl="3" w:tplc="0809000F" w:tentative="1">
      <w:start w:val="1"/>
      <w:numFmt w:val="decimal"/>
      <w:lvlText w:val="%4."/>
      <w:lvlJc w:val="left"/>
      <w:pPr>
        <w:ind w:left="3226" w:hanging="360"/>
      </w:pPr>
    </w:lvl>
    <w:lvl w:ilvl="4" w:tplc="08090019" w:tentative="1">
      <w:start w:val="1"/>
      <w:numFmt w:val="lowerLetter"/>
      <w:lvlText w:val="%5."/>
      <w:lvlJc w:val="left"/>
      <w:pPr>
        <w:ind w:left="3946" w:hanging="360"/>
      </w:pPr>
    </w:lvl>
    <w:lvl w:ilvl="5" w:tplc="0809001B" w:tentative="1">
      <w:start w:val="1"/>
      <w:numFmt w:val="lowerRoman"/>
      <w:lvlText w:val="%6."/>
      <w:lvlJc w:val="right"/>
      <w:pPr>
        <w:ind w:left="4666" w:hanging="180"/>
      </w:pPr>
    </w:lvl>
    <w:lvl w:ilvl="6" w:tplc="0809000F" w:tentative="1">
      <w:start w:val="1"/>
      <w:numFmt w:val="decimal"/>
      <w:lvlText w:val="%7."/>
      <w:lvlJc w:val="left"/>
      <w:pPr>
        <w:ind w:left="5386" w:hanging="360"/>
      </w:pPr>
    </w:lvl>
    <w:lvl w:ilvl="7" w:tplc="08090019" w:tentative="1">
      <w:start w:val="1"/>
      <w:numFmt w:val="lowerLetter"/>
      <w:lvlText w:val="%8."/>
      <w:lvlJc w:val="left"/>
      <w:pPr>
        <w:ind w:left="6106" w:hanging="360"/>
      </w:pPr>
    </w:lvl>
    <w:lvl w:ilvl="8" w:tplc="0809001B" w:tentative="1">
      <w:start w:val="1"/>
      <w:numFmt w:val="lowerRoman"/>
      <w:lvlText w:val="%9."/>
      <w:lvlJc w:val="right"/>
      <w:pPr>
        <w:ind w:left="6826" w:hanging="180"/>
      </w:pPr>
    </w:lvl>
  </w:abstractNum>
  <w:abstractNum w:abstractNumId="42">
    <w:nsid w:val="798365C6"/>
    <w:multiLevelType w:val="multilevel"/>
    <w:tmpl w:val="E67CE66C"/>
    <w:numStyleLink w:val="StyleNumberedLeft0cmHanging075cm"/>
  </w:abstractNum>
  <w:abstractNum w:abstractNumId="43">
    <w:nsid w:val="7D230DC1"/>
    <w:multiLevelType w:val="hybridMultilevel"/>
    <w:tmpl w:val="99724478"/>
    <w:lvl w:ilvl="0" w:tplc="289428CC">
      <w:start w:val="1"/>
      <w:numFmt w:val="decimal"/>
      <w:lvlText w:val="%1."/>
      <w:lvlJc w:val="left"/>
      <w:pPr>
        <w:ind w:left="540" w:hanging="360"/>
      </w:pPr>
      <w:rPr>
        <w:rFonts w:ascii="Arial" w:eastAsia="Times New Roman" w:hAnsi="Arial" w:cs="Times New Roman"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num w:numId="1">
    <w:abstractNumId w:val="32"/>
  </w:num>
  <w:num w:numId="2">
    <w:abstractNumId w:val="38"/>
  </w:num>
  <w:num w:numId="3">
    <w:abstractNumId w:val="29"/>
  </w:num>
  <w:num w:numId="4">
    <w:abstractNumId w:val="25"/>
  </w:num>
  <w:num w:numId="5">
    <w:abstractNumId w:val="34"/>
  </w:num>
  <w:num w:numId="6">
    <w:abstractNumId w:val="40"/>
  </w:num>
  <w:num w:numId="7">
    <w:abstractNumId w:val="28"/>
  </w:num>
  <w:num w:numId="8">
    <w:abstractNumId w:val="26"/>
  </w:num>
  <w:num w:numId="9">
    <w:abstractNumId w:val="14"/>
  </w:num>
  <w:num w:numId="10">
    <w:abstractNumId w:val="20"/>
  </w:num>
  <w:num w:numId="11">
    <w:abstractNumId w:val="31"/>
  </w:num>
  <w:num w:numId="12">
    <w:abstractNumId w:val="30"/>
  </w:num>
  <w:num w:numId="13">
    <w:abstractNumId w:val="10"/>
  </w:num>
  <w:num w:numId="14">
    <w:abstractNumId w:val="42"/>
  </w:num>
  <w:num w:numId="15">
    <w:abstractNumId w:val="21"/>
  </w:num>
  <w:num w:numId="16">
    <w:abstractNumId w:val="11"/>
  </w:num>
  <w:num w:numId="17">
    <w:abstractNumId w:val="33"/>
  </w:num>
  <w:num w:numId="18">
    <w:abstractNumId w:val="12"/>
  </w:num>
  <w:num w:numId="19">
    <w:abstractNumId w:val="36"/>
  </w:num>
  <w:num w:numId="20">
    <w:abstractNumId w:val="22"/>
  </w:num>
  <w:num w:numId="21">
    <w:abstractNumId w:val="27"/>
  </w:num>
  <w:num w:numId="22">
    <w:abstractNumId w:val="16"/>
  </w:num>
  <w:num w:numId="23">
    <w:abstractNumId w:val="37"/>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3"/>
  </w:num>
  <w:num w:numId="35">
    <w:abstractNumId w:val="17"/>
  </w:num>
  <w:num w:numId="36">
    <w:abstractNumId w:val="18"/>
  </w:num>
  <w:num w:numId="37">
    <w:abstractNumId w:val="41"/>
  </w:num>
  <w:num w:numId="38">
    <w:abstractNumId w:val="35"/>
  </w:num>
  <w:num w:numId="39">
    <w:abstractNumId w:val="24"/>
  </w:num>
  <w:num w:numId="40">
    <w:abstractNumId w:val="39"/>
  </w:num>
  <w:num w:numId="41">
    <w:abstractNumId w:val="23"/>
  </w:num>
  <w:num w:numId="42">
    <w:abstractNumId w:val="19"/>
  </w:num>
  <w:num w:numId="43">
    <w:abstractNumId w:val="15"/>
  </w:num>
  <w:num w:numId="44">
    <w:abstractNumId w:val="4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117D4"/>
    <w:rsid w:val="000314D7"/>
    <w:rsid w:val="000377FE"/>
    <w:rsid w:val="00045F8B"/>
    <w:rsid w:val="00046D2B"/>
    <w:rsid w:val="00056263"/>
    <w:rsid w:val="00064D8A"/>
    <w:rsid w:val="00064F82"/>
    <w:rsid w:val="00066510"/>
    <w:rsid w:val="00077523"/>
    <w:rsid w:val="000838B4"/>
    <w:rsid w:val="000B434E"/>
    <w:rsid w:val="000B4FA0"/>
    <w:rsid w:val="000B6F45"/>
    <w:rsid w:val="000B7842"/>
    <w:rsid w:val="000C089F"/>
    <w:rsid w:val="000C3928"/>
    <w:rsid w:val="000C5E8E"/>
    <w:rsid w:val="000D076F"/>
    <w:rsid w:val="000D1136"/>
    <w:rsid w:val="000F4751"/>
    <w:rsid w:val="0010524C"/>
    <w:rsid w:val="00111FB1"/>
    <w:rsid w:val="00113418"/>
    <w:rsid w:val="00124251"/>
    <w:rsid w:val="001356F1"/>
    <w:rsid w:val="00136994"/>
    <w:rsid w:val="0014128E"/>
    <w:rsid w:val="00151888"/>
    <w:rsid w:val="00170A2D"/>
    <w:rsid w:val="00171967"/>
    <w:rsid w:val="00176C36"/>
    <w:rsid w:val="001808BC"/>
    <w:rsid w:val="00182B81"/>
    <w:rsid w:val="0018619D"/>
    <w:rsid w:val="001A011E"/>
    <w:rsid w:val="001A066A"/>
    <w:rsid w:val="001A13E6"/>
    <w:rsid w:val="001A1D6E"/>
    <w:rsid w:val="001A5731"/>
    <w:rsid w:val="001B42C3"/>
    <w:rsid w:val="001C5D5E"/>
    <w:rsid w:val="001D678D"/>
    <w:rsid w:val="001E03F8"/>
    <w:rsid w:val="001E1678"/>
    <w:rsid w:val="001E3376"/>
    <w:rsid w:val="0020140D"/>
    <w:rsid w:val="00202237"/>
    <w:rsid w:val="00202F78"/>
    <w:rsid w:val="002069B3"/>
    <w:rsid w:val="00230D9C"/>
    <w:rsid w:val="002329CF"/>
    <w:rsid w:val="00232F5B"/>
    <w:rsid w:val="00235C1B"/>
    <w:rsid w:val="00243EB2"/>
    <w:rsid w:val="00247C29"/>
    <w:rsid w:val="00260467"/>
    <w:rsid w:val="00263EA3"/>
    <w:rsid w:val="00284F85"/>
    <w:rsid w:val="00287619"/>
    <w:rsid w:val="00290915"/>
    <w:rsid w:val="002A22E2"/>
    <w:rsid w:val="002C64F7"/>
    <w:rsid w:val="002D71F0"/>
    <w:rsid w:val="002E2B33"/>
    <w:rsid w:val="002E74FF"/>
    <w:rsid w:val="002F41F2"/>
    <w:rsid w:val="00301BF3"/>
    <w:rsid w:val="0030208D"/>
    <w:rsid w:val="00321CDE"/>
    <w:rsid w:val="00323418"/>
    <w:rsid w:val="003357BF"/>
    <w:rsid w:val="00342EB3"/>
    <w:rsid w:val="00360F5D"/>
    <w:rsid w:val="00364FAD"/>
    <w:rsid w:val="00366790"/>
    <w:rsid w:val="0036738F"/>
    <w:rsid w:val="0036759C"/>
    <w:rsid w:val="00367AE5"/>
    <w:rsid w:val="00367D71"/>
    <w:rsid w:val="0038150A"/>
    <w:rsid w:val="003949BF"/>
    <w:rsid w:val="003B6E75"/>
    <w:rsid w:val="003B7DA1"/>
    <w:rsid w:val="003D0379"/>
    <w:rsid w:val="003D2574"/>
    <w:rsid w:val="003D40BA"/>
    <w:rsid w:val="003D4C59"/>
    <w:rsid w:val="003F4267"/>
    <w:rsid w:val="00404032"/>
    <w:rsid w:val="0040736F"/>
    <w:rsid w:val="00412C1F"/>
    <w:rsid w:val="00421CB2"/>
    <w:rsid w:val="004268B9"/>
    <w:rsid w:val="00426B37"/>
    <w:rsid w:val="00427DF4"/>
    <w:rsid w:val="004304D2"/>
    <w:rsid w:val="00433B96"/>
    <w:rsid w:val="0043616A"/>
    <w:rsid w:val="00441542"/>
    <w:rsid w:val="004440F1"/>
    <w:rsid w:val="004456DD"/>
    <w:rsid w:val="00446CDF"/>
    <w:rsid w:val="004521B7"/>
    <w:rsid w:val="00453CE7"/>
    <w:rsid w:val="00462AB5"/>
    <w:rsid w:val="00465EAF"/>
    <w:rsid w:val="004726A7"/>
    <w:rsid w:val="004738C5"/>
    <w:rsid w:val="00491046"/>
    <w:rsid w:val="0049506A"/>
    <w:rsid w:val="00495D9F"/>
    <w:rsid w:val="004A2AC7"/>
    <w:rsid w:val="004A6D2F"/>
    <w:rsid w:val="004B4D8F"/>
    <w:rsid w:val="004B4D98"/>
    <w:rsid w:val="004C2887"/>
    <w:rsid w:val="004D2626"/>
    <w:rsid w:val="004D56CB"/>
    <w:rsid w:val="004D6E26"/>
    <w:rsid w:val="004D77D3"/>
    <w:rsid w:val="004E2959"/>
    <w:rsid w:val="004F20EF"/>
    <w:rsid w:val="0050101A"/>
    <w:rsid w:val="00502745"/>
    <w:rsid w:val="0050321C"/>
    <w:rsid w:val="0051268A"/>
    <w:rsid w:val="0054712D"/>
    <w:rsid w:val="00547EF6"/>
    <w:rsid w:val="00552175"/>
    <w:rsid w:val="005570B5"/>
    <w:rsid w:val="00567E18"/>
    <w:rsid w:val="00575F5F"/>
    <w:rsid w:val="00581805"/>
    <w:rsid w:val="00585F76"/>
    <w:rsid w:val="005A34E4"/>
    <w:rsid w:val="005B17F2"/>
    <w:rsid w:val="005B49AE"/>
    <w:rsid w:val="005B7FB0"/>
    <w:rsid w:val="005C35A5"/>
    <w:rsid w:val="005C577C"/>
    <w:rsid w:val="005D0621"/>
    <w:rsid w:val="005D1E27"/>
    <w:rsid w:val="005D2A3E"/>
    <w:rsid w:val="005E022E"/>
    <w:rsid w:val="005E5215"/>
    <w:rsid w:val="005F5514"/>
    <w:rsid w:val="005F7F7E"/>
    <w:rsid w:val="00614693"/>
    <w:rsid w:val="00623C2F"/>
    <w:rsid w:val="00633578"/>
    <w:rsid w:val="00637068"/>
    <w:rsid w:val="00641FF4"/>
    <w:rsid w:val="00650811"/>
    <w:rsid w:val="00652243"/>
    <w:rsid w:val="006549B7"/>
    <w:rsid w:val="00661D3E"/>
    <w:rsid w:val="006710C9"/>
    <w:rsid w:val="00692627"/>
    <w:rsid w:val="0069570B"/>
    <w:rsid w:val="006969E7"/>
    <w:rsid w:val="006A3643"/>
    <w:rsid w:val="006C2A29"/>
    <w:rsid w:val="006C64CF"/>
    <w:rsid w:val="006D17B1"/>
    <w:rsid w:val="006D4752"/>
    <w:rsid w:val="006D5324"/>
    <w:rsid w:val="006D708A"/>
    <w:rsid w:val="006E14C1"/>
    <w:rsid w:val="006F0292"/>
    <w:rsid w:val="006F27FA"/>
    <w:rsid w:val="006F416B"/>
    <w:rsid w:val="006F519B"/>
    <w:rsid w:val="00703378"/>
    <w:rsid w:val="00706370"/>
    <w:rsid w:val="00713675"/>
    <w:rsid w:val="00715823"/>
    <w:rsid w:val="00726F6F"/>
    <w:rsid w:val="00737B93"/>
    <w:rsid w:val="00745BF0"/>
    <w:rsid w:val="007520C2"/>
    <w:rsid w:val="007577A7"/>
    <w:rsid w:val="007615FE"/>
    <w:rsid w:val="0076655C"/>
    <w:rsid w:val="007742DC"/>
    <w:rsid w:val="00780478"/>
    <w:rsid w:val="00786404"/>
    <w:rsid w:val="00791437"/>
    <w:rsid w:val="007B0C2C"/>
    <w:rsid w:val="007B278E"/>
    <w:rsid w:val="007C5C23"/>
    <w:rsid w:val="007C7D91"/>
    <w:rsid w:val="007E1F97"/>
    <w:rsid w:val="007E2A26"/>
    <w:rsid w:val="007F2348"/>
    <w:rsid w:val="007F2508"/>
    <w:rsid w:val="00803F07"/>
    <w:rsid w:val="0080749A"/>
    <w:rsid w:val="00811B26"/>
    <w:rsid w:val="00812371"/>
    <w:rsid w:val="00821FB8"/>
    <w:rsid w:val="00822ACD"/>
    <w:rsid w:val="00824820"/>
    <w:rsid w:val="00855C66"/>
    <w:rsid w:val="00871EE4"/>
    <w:rsid w:val="00874B82"/>
    <w:rsid w:val="008753D5"/>
    <w:rsid w:val="008844D1"/>
    <w:rsid w:val="008B293F"/>
    <w:rsid w:val="008B7371"/>
    <w:rsid w:val="008D3DDB"/>
    <w:rsid w:val="008F573F"/>
    <w:rsid w:val="009034EC"/>
    <w:rsid w:val="0093067A"/>
    <w:rsid w:val="00941C60"/>
    <w:rsid w:val="00966D42"/>
    <w:rsid w:val="00971689"/>
    <w:rsid w:val="00973E90"/>
    <w:rsid w:val="00975B07"/>
    <w:rsid w:val="00980B4A"/>
    <w:rsid w:val="0098692B"/>
    <w:rsid w:val="009947AB"/>
    <w:rsid w:val="009A39AC"/>
    <w:rsid w:val="009A6DAB"/>
    <w:rsid w:val="009A6E64"/>
    <w:rsid w:val="009D04D6"/>
    <w:rsid w:val="009E3D0A"/>
    <w:rsid w:val="009E51FC"/>
    <w:rsid w:val="009F1D28"/>
    <w:rsid w:val="009F5F07"/>
    <w:rsid w:val="009F7618"/>
    <w:rsid w:val="00A04D23"/>
    <w:rsid w:val="00A06766"/>
    <w:rsid w:val="00A109EE"/>
    <w:rsid w:val="00A13765"/>
    <w:rsid w:val="00A21B12"/>
    <w:rsid w:val="00A23F80"/>
    <w:rsid w:val="00A46E98"/>
    <w:rsid w:val="00A62713"/>
    <w:rsid w:val="00A6352B"/>
    <w:rsid w:val="00A701B5"/>
    <w:rsid w:val="00A714BB"/>
    <w:rsid w:val="00A81D70"/>
    <w:rsid w:val="00A92D8F"/>
    <w:rsid w:val="00A96180"/>
    <w:rsid w:val="00A962D5"/>
    <w:rsid w:val="00AB2988"/>
    <w:rsid w:val="00AB6158"/>
    <w:rsid w:val="00AB77E1"/>
    <w:rsid w:val="00AB7999"/>
    <w:rsid w:val="00AD2D8E"/>
    <w:rsid w:val="00AD3292"/>
    <w:rsid w:val="00AE5954"/>
    <w:rsid w:val="00AE7AF0"/>
    <w:rsid w:val="00B2048C"/>
    <w:rsid w:val="00B211D8"/>
    <w:rsid w:val="00B21A95"/>
    <w:rsid w:val="00B4421A"/>
    <w:rsid w:val="00B500CA"/>
    <w:rsid w:val="00B53395"/>
    <w:rsid w:val="00B72BAC"/>
    <w:rsid w:val="00B772DE"/>
    <w:rsid w:val="00B86314"/>
    <w:rsid w:val="00B952EA"/>
    <w:rsid w:val="00BA1C2E"/>
    <w:rsid w:val="00BB6C39"/>
    <w:rsid w:val="00BC200B"/>
    <w:rsid w:val="00BC4756"/>
    <w:rsid w:val="00BC5722"/>
    <w:rsid w:val="00BC69A4"/>
    <w:rsid w:val="00BD6B9E"/>
    <w:rsid w:val="00BE0680"/>
    <w:rsid w:val="00BE305F"/>
    <w:rsid w:val="00BE7BA3"/>
    <w:rsid w:val="00BF5682"/>
    <w:rsid w:val="00BF7B09"/>
    <w:rsid w:val="00C20A95"/>
    <w:rsid w:val="00C224DB"/>
    <w:rsid w:val="00C2692F"/>
    <w:rsid w:val="00C31345"/>
    <w:rsid w:val="00C3207C"/>
    <w:rsid w:val="00C400E1"/>
    <w:rsid w:val="00C41187"/>
    <w:rsid w:val="00C63C31"/>
    <w:rsid w:val="00C7478D"/>
    <w:rsid w:val="00C757A0"/>
    <w:rsid w:val="00C760DE"/>
    <w:rsid w:val="00C82630"/>
    <w:rsid w:val="00C85B4E"/>
    <w:rsid w:val="00C907F7"/>
    <w:rsid w:val="00CA2103"/>
    <w:rsid w:val="00CB6B99"/>
    <w:rsid w:val="00CC22E4"/>
    <w:rsid w:val="00CD7272"/>
    <w:rsid w:val="00CE4C87"/>
    <w:rsid w:val="00CE52F0"/>
    <w:rsid w:val="00CE544A"/>
    <w:rsid w:val="00D11E1C"/>
    <w:rsid w:val="00D160B0"/>
    <w:rsid w:val="00D17346"/>
    <w:rsid w:val="00D17F94"/>
    <w:rsid w:val="00D223FC"/>
    <w:rsid w:val="00D26D1E"/>
    <w:rsid w:val="00D474CF"/>
    <w:rsid w:val="00D5547E"/>
    <w:rsid w:val="00D57EFE"/>
    <w:rsid w:val="00D655B5"/>
    <w:rsid w:val="00D725B3"/>
    <w:rsid w:val="00D8279B"/>
    <w:rsid w:val="00D869A1"/>
    <w:rsid w:val="00DA413F"/>
    <w:rsid w:val="00DA4584"/>
    <w:rsid w:val="00DA614B"/>
    <w:rsid w:val="00DB29B5"/>
    <w:rsid w:val="00DC022D"/>
    <w:rsid w:val="00DC3060"/>
    <w:rsid w:val="00DE0FB2"/>
    <w:rsid w:val="00DF093E"/>
    <w:rsid w:val="00DF4A25"/>
    <w:rsid w:val="00E00122"/>
    <w:rsid w:val="00E01F42"/>
    <w:rsid w:val="00E05CC0"/>
    <w:rsid w:val="00E206D6"/>
    <w:rsid w:val="00E3366E"/>
    <w:rsid w:val="00E51DB7"/>
    <w:rsid w:val="00E52086"/>
    <w:rsid w:val="00E543A6"/>
    <w:rsid w:val="00E55AE3"/>
    <w:rsid w:val="00E60479"/>
    <w:rsid w:val="00E61D73"/>
    <w:rsid w:val="00E73684"/>
    <w:rsid w:val="00E818D6"/>
    <w:rsid w:val="00E841E7"/>
    <w:rsid w:val="00E87F7A"/>
    <w:rsid w:val="00E96BD7"/>
    <w:rsid w:val="00EA0DB1"/>
    <w:rsid w:val="00EA0EE9"/>
    <w:rsid w:val="00ED52CA"/>
    <w:rsid w:val="00ED5860"/>
    <w:rsid w:val="00EE1AAD"/>
    <w:rsid w:val="00EE35C9"/>
    <w:rsid w:val="00F05ECA"/>
    <w:rsid w:val="00F13E1D"/>
    <w:rsid w:val="00F3566E"/>
    <w:rsid w:val="00F375FB"/>
    <w:rsid w:val="00F41AC1"/>
    <w:rsid w:val="00F4367A"/>
    <w:rsid w:val="00F445B1"/>
    <w:rsid w:val="00F45CD4"/>
    <w:rsid w:val="00F66DCA"/>
    <w:rsid w:val="00F74F53"/>
    <w:rsid w:val="00F7606D"/>
    <w:rsid w:val="00F81670"/>
    <w:rsid w:val="00F82024"/>
    <w:rsid w:val="00F95BC9"/>
    <w:rsid w:val="00FA624C"/>
    <w:rsid w:val="00FD0FAC"/>
    <w:rsid w:val="00FD1DFA"/>
    <w:rsid w:val="00FD2277"/>
    <w:rsid w:val="00FD4966"/>
    <w:rsid w:val="00FE57DC"/>
    <w:rsid w:val="00FF11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paragraph" w:customStyle="1" w:styleId="Default">
    <w:name w:val="Default"/>
    <w:rsid w:val="00C7478D"/>
    <w:pPr>
      <w:autoSpaceDE w:val="0"/>
      <w:autoSpaceDN w:val="0"/>
      <w:adjustRightInd w:val="0"/>
    </w:pPr>
    <w:rPr>
      <w:rFonts w:cs="Arial"/>
      <w:color w:val="000000"/>
      <w:sz w:val="24"/>
      <w:szCs w:val="24"/>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paragraph" w:customStyle="1" w:styleId="Default">
    <w:name w:val="Default"/>
    <w:rsid w:val="00C7478D"/>
    <w:pPr>
      <w:autoSpaceDE w:val="0"/>
      <w:autoSpaceDN w:val="0"/>
      <w:adjustRightInd w:val="0"/>
    </w:pPr>
    <w:rPr>
      <w:rFonts w:cs="Arial"/>
      <w:color w:val="000000"/>
      <w:sz w:val="24"/>
      <w:szCs w:val="24"/>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8806138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1728521">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07088054">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25B8C-FC65-4155-B295-E14AA8934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CDBC41CB</Template>
  <TotalTime>46</TotalTime>
  <Pages>6</Pages>
  <Words>1830</Words>
  <Characters>9642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JMitchell</cp:lastModifiedBy>
  <cp:revision>17</cp:revision>
  <cp:lastPrinted>2015-07-03T13:50:00Z</cp:lastPrinted>
  <dcterms:created xsi:type="dcterms:W3CDTF">2019-03-05T07:18:00Z</dcterms:created>
  <dcterms:modified xsi:type="dcterms:W3CDTF">2019-03-05T11:56:00Z</dcterms:modified>
</cp:coreProperties>
</file>